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  <w:shd w:val="clear" w:color="auto" w:fill="FFFFFF"/>
          <w:vertAlign w:val="baseline"/>
          <w:lang w:eastAsia="zh-CN"/>
        </w:rPr>
        <w:t>福建省动物疫病预防控制中心2022年实验用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/>
        <w:jc w:val="center"/>
        <w:textAlignment w:val="baseline"/>
        <w:rPr>
          <w:b/>
          <w:bCs/>
          <w:color w:val="38394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9"/>
          <w:szCs w:val="39"/>
          <w:shd w:val="clear" w:color="auto" w:fill="FFFFFF"/>
          <w:vertAlign w:val="baseline"/>
          <w:lang w:eastAsia="zh-CN"/>
        </w:rPr>
        <w:t>耗材招标采购项目流标公告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baseline"/>
        <w:rPr>
          <w:rFonts w:hint="default" w:ascii="宋体" w:hAnsi="宋体" w:eastAsia="宋体" w:cs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eastAsia="zh-CN"/>
        </w:rPr>
        <w:t>KRZC-XJ-H-2022038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-1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baseline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eastAsia="zh-CN"/>
        </w:rPr>
        <w:t>2022年实验用耗材招标采购项目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baseline"/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vertAlign w:val="baseline"/>
        </w:rPr>
        <w:t>采购方式：询价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采购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预算金额：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.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9102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000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万元（人民币）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最高限价（如有）：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.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9102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000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万元（人民币）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二、项目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废标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原因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 w:firstLineChars="20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截至投标时间2022年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0日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09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0止，根据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询价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文件规定的评标方法和标准，评标委员会首先对各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供应商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的资格性和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报价响应文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件的符合性进行了审查，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厦门宝诚生物技术有限公司未按要求提供技术商务相关材料，不符合询价文件要求的技术、商务符合性要求，符合性审查不通过，按无效响应处理。其余各供应商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的资格性与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报价响应文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件的符合性审查均通过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eastAsia="zh-CN"/>
        </w:rPr>
        <w:t>，本项目合格供应商不足三家，故本项目废标。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三、其他补充事宜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left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四、凡对本次公告内容提出询问，请按以下方式联系。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1.采购人信息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 xml:space="preserve">名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称：</w:t>
      </w:r>
      <w:r>
        <w:rPr>
          <w:rFonts w:hint="eastAsia" w:ascii="宋体" w:hAnsi="宋体" w:cs="宋体"/>
          <w:highlight w:val="none"/>
        </w:rPr>
        <w:t>福建省动物疫病预防控制中心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地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址：</w:t>
      </w:r>
      <w:r>
        <w:rPr>
          <w:rFonts w:hint="eastAsia" w:ascii="宋体" w:hAnsi="宋体" w:cs="宋体"/>
          <w:highlight w:val="none"/>
        </w:rPr>
        <w:t>福建省福州市鼓楼区鼓屏路115号综合楼二楼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联系方式：</w:t>
      </w:r>
      <w:r>
        <w:rPr>
          <w:rFonts w:hint="eastAsia" w:ascii="宋体" w:hAnsi="宋体" w:cs="宋体"/>
          <w:highlight w:val="none"/>
        </w:rPr>
        <w:t>彭碧林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/</w:t>
      </w:r>
      <w:r>
        <w:rPr>
          <w:rFonts w:hint="eastAsia" w:ascii="宋体" w:hAnsi="宋体" w:cs="宋体"/>
          <w:highlight w:val="none"/>
        </w:rPr>
        <w:t>0591-87802846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2.采购代理机构信息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 xml:space="preserve">名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称：福建科瑞项目管理有限公司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地　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址：</w:t>
      </w:r>
      <w:r>
        <w:rPr>
          <w:rFonts w:hint="eastAsia" w:ascii="宋体" w:hAnsi="宋体" w:cs="宋体"/>
        </w:rPr>
        <w:t>福州市鼓楼区五四路173号新</w:t>
      </w:r>
      <w:r>
        <w:rPr>
          <w:rFonts w:hint="eastAsia" w:ascii="宋体" w:hAnsi="宋体" w:cs="宋体"/>
          <w:lang w:eastAsia="zh-CN"/>
        </w:rPr>
        <w:t>华福</w:t>
      </w:r>
      <w:r>
        <w:rPr>
          <w:rFonts w:hint="eastAsia" w:ascii="宋体" w:hAnsi="宋体" w:cs="宋体"/>
        </w:rPr>
        <w:t>广场C座5楼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联系方式：江小青、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eastAsia="zh-CN"/>
        </w:rPr>
        <w:t>柯鸿飞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  <w:lang w:val="en-US" w:eastAsia="zh-CN"/>
        </w:rPr>
        <w:t>李兰仙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vertAlign w:val="baseline"/>
        </w:rPr>
        <w:t>/0591-87579323-807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Yjk5OGQ1YjQxMGNmYTk0NmY3ZDNiMGNjZGQ3MTIifQ=="/>
  </w:docVars>
  <w:rsids>
    <w:rsidRoot w:val="5C2B6836"/>
    <w:rsid w:val="37554434"/>
    <w:rsid w:val="5C2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hAnsi="宋体" w:eastAsia="仿宋_GB2312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2022-10-10T03:45:00Z</dcterms:created>
  <dc:creator>Administrator</dc:creator>
  <cp:lastModifiedBy>科瑞-小江</cp:lastModifiedBy>
  <dcterms:modified xsi:type="dcterms:W3CDTF">2022-10-10T03:54:43Z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E240591EA5204F24B156029671832E0A</vt:lpwstr>
  </property>
</Properties>
</file>