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600" w:lineRule="exact"/>
        <w:ind w:left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eastAsia="仿宋"/>
          <w:sz w:val="32"/>
          <w:szCs w:val="32"/>
        </w:rPr>
        <w:t>闽农土肥〔2021〕7号</w:t>
      </w:r>
    </w:p>
    <w:p>
      <w:pPr>
        <w:spacing w:line="400" w:lineRule="exact"/>
        <w:jc w:val="center"/>
        <w:rPr>
          <w:rFonts w:ascii="仿宋" w:eastAsia="仿宋" w:hint="eastAsia"/>
          <w:szCs w:val="21"/>
        </w:rPr>
      </w:pPr>
    </w:p>
    <w:p>
      <w:pPr>
        <w:spacing w:line="400" w:lineRule="exact"/>
        <w:jc w:val="center"/>
        <w:rPr>
          <w:rFonts w:ascii="仿宋" w:eastAsia="仿宋" w:hint="eastAsia"/>
          <w:szCs w:val="21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关于做好2021年紫云英绿肥田间试验</w:t>
      </w:r>
    </w:p>
    <w:p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及效果监测有关工作的通知</w:t>
      </w:r>
    </w:p>
    <w:p>
      <w:pPr>
        <w:spacing w:line="600" w:lineRule="exact"/>
        <w:jc w:val="center"/>
        <w:rPr>
          <w:sz w:val="44"/>
          <w:szCs w:val="44"/>
        </w:rPr>
      </w:pPr>
    </w:p>
    <w:p>
      <w:pPr>
        <w:spacing w:line="600" w:lineRule="exact"/>
        <w:jc w:val="left"/>
        <w:rPr>
          <w:rFonts w:ascii="仿宋" w:eastAsia="仿宋" w:hint="eastAsia"/>
          <w:sz w:val="32"/>
          <w:szCs w:val="32"/>
        </w:rPr>
      </w:pPr>
      <w:r>
        <w:rPr>
          <w:rFonts w:ascii="仿宋" w:eastAsia="仿宋" w:cs="仿宋_GB2312" w:hint="eastAsia"/>
          <w:sz w:val="32"/>
          <w:szCs w:val="32"/>
          <w:lang w:bidi="ar-SA"/>
        </w:rPr>
        <w:t>宁化、尤溪、沙县、建宁、浦城、邵武、武夷山、长汀、福鼎、霞浦</w:t>
      </w:r>
      <w:r>
        <w:rPr>
          <w:rFonts w:ascii="仿宋" w:eastAsia="仿宋" w:hint="eastAsia"/>
          <w:sz w:val="32"/>
          <w:szCs w:val="32"/>
        </w:rPr>
        <w:t>县（市、区）土肥站：</w:t>
      </w:r>
    </w:p>
    <w:p>
      <w:pPr>
        <w:spacing w:line="600" w:lineRule="exact"/>
        <w:ind w:firstLine="660"/>
        <w:rPr>
          <w:rFonts w:ascii="仿宋" w:eastAsia="仿宋"/>
          <w:sz w:val="32"/>
          <w:szCs w:val="32"/>
        </w:rPr>
      </w:pPr>
      <w:r>
        <w:rPr>
          <w:rFonts w:eastAsia="仿宋"/>
          <w:sz w:val="32"/>
          <w:szCs w:val="32"/>
        </w:rPr>
        <w:t>根据福建省财政厅、福建省农业农村厅《关于提前下达2021年特色现代农业发展专项资金的通知》（闽财农指〔2020〕104号）要</w:t>
      </w:r>
      <w:r>
        <w:rPr>
          <w:rFonts w:ascii="仿宋" w:eastAsia="仿宋" w:hint="eastAsia"/>
          <w:sz w:val="32"/>
          <w:szCs w:val="32"/>
        </w:rPr>
        <w:t>求，为</w:t>
      </w:r>
      <w:r>
        <w:rPr>
          <w:rFonts w:ascii="仿宋" w:eastAsia="仿宋"/>
          <w:sz w:val="32"/>
          <w:szCs w:val="32"/>
        </w:rPr>
        <w:t>做好紫云英绿肥品种试验及示范片效果监测有关工作，</w:t>
      </w:r>
      <w:r>
        <w:rPr>
          <w:rFonts w:ascii="仿宋" w:eastAsia="仿宋" w:hint="eastAsia"/>
          <w:sz w:val="32"/>
          <w:szCs w:val="32"/>
        </w:rPr>
        <w:t>保质保量完成项目</w:t>
      </w:r>
      <w:r>
        <w:rPr>
          <w:rFonts w:ascii="仿宋" w:eastAsia="仿宋"/>
          <w:sz w:val="32"/>
          <w:szCs w:val="32"/>
        </w:rPr>
        <w:t>绩效目标</w:t>
      </w:r>
      <w:r>
        <w:rPr>
          <w:rFonts w:ascii="仿宋" w:eastAsia="仿宋" w:hint="eastAsia"/>
          <w:sz w:val="32"/>
          <w:szCs w:val="32"/>
        </w:rPr>
        <w:t>，现将有关事项通知如下</w:t>
      </w:r>
      <w:r>
        <w:rPr>
          <w:rFonts w:ascii="仿宋" w:eastAsia="仿宋"/>
          <w:sz w:val="32"/>
          <w:szCs w:val="32"/>
        </w:rPr>
        <w:t>。</w:t>
      </w:r>
    </w:p>
    <w:p>
      <w:pPr>
        <w:spacing w:line="600" w:lineRule="exact"/>
        <w:ind w:firstLineChars="200" w:firstLine="640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</w:t>
      </w:r>
      <w:r>
        <w:rPr>
          <w:rFonts w:ascii="黑体" w:eastAsia="黑体"/>
          <w:sz w:val="32"/>
          <w:szCs w:val="32"/>
        </w:rPr>
        <w:t>田间试验</w:t>
      </w:r>
    </w:p>
    <w:p>
      <w:pPr>
        <w:adjustRightInd w:val="0"/>
        <w:spacing w:line="600" w:lineRule="exact"/>
        <w:ind w:firstLineChars="200" w:firstLine="640"/>
        <w:textAlignment w:val="baseline"/>
        <w:rPr>
          <w:rFonts w:ascii="仿宋" w:eastAsia="仿宋"/>
          <w:sz w:val="32"/>
          <w:szCs w:val="32"/>
        </w:rPr>
      </w:pPr>
      <w:r>
        <w:rPr>
          <w:rFonts w:ascii="仿宋" w:eastAsia="仿宋" w:cs="宋体"/>
          <w:sz w:val="32"/>
          <w:szCs w:val="32"/>
        </w:rPr>
        <w:t>各项目县（市、区）要</w:t>
      </w:r>
      <w:r>
        <w:rPr>
          <w:rFonts w:eastAsia="仿宋"/>
          <w:sz w:val="32"/>
          <w:szCs w:val="32"/>
        </w:rPr>
        <w:t>根据《</w:t>
      </w:r>
      <w:r>
        <w:rPr>
          <w:rFonts w:eastAsia="仿宋"/>
          <w:bCs/>
          <w:sz w:val="32"/>
          <w:szCs w:val="32"/>
        </w:rPr>
        <w:t>2021年紫云英绿肥田间试验方案》（详见附件1），</w:t>
      </w:r>
      <w:r>
        <w:rPr>
          <w:rFonts w:eastAsia="仿宋"/>
          <w:sz w:val="32"/>
          <w:szCs w:val="32"/>
        </w:rPr>
        <w:t>进一步细化试验方案，做好田间管理、观察记载、测产验收和</w:t>
      </w:r>
      <w:r>
        <w:rPr>
          <w:rFonts w:ascii="仿宋" w:eastAsia="仿宋"/>
          <w:sz w:val="32"/>
          <w:szCs w:val="32"/>
        </w:rPr>
        <w:t>数据审核分析等关键环节的质量把关。试验要明确责任人，按照试验方案组织实施，确保试验数据质量。</w:t>
      </w:r>
    </w:p>
    <w:p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二、效果监测</w:t>
      </w:r>
    </w:p>
    <w:p>
      <w:pPr>
        <w:adjustRightInd w:val="0"/>
        <w:spacing w:line="600" w:lineRule="exact"/>
        <w:ind w:firstLineChars="200" w:firstLine="640"/>
        <w:textAlignment w:val="baseline"/>
        <w:rPr>
          <w:rFonts w:ascii="仿宋" w:eastAsia="仿宋" w:cs="宋体"/>
          <w:sz w:val="32"/>
          <w:szCs w:val="32"/>
        </w:rPr>
      </w:pPr>
      <w:r>
        <w:rPr>
          <w:rFonts w:eastAsia="仿宋"/>
          <w:sz w:val="32"/>
          <w:szCs w:val="32"/>
        </w:rPr>
        <w:t>各项目县（市、区）选择紫云英绿肥示范片时，要按照《2021年紫云英绿肥示范片效果监测实施方案》</w:t>
      </w:r>
      <w:r>
        <w:rPr>
          <w:rFonts w:eastAsia="仿宋"/>
          <w:bCs/>
          <w:sz w:val="32"/>
          <w:szCs w:val="32"/>
        </w:rPr>
        <w:t>（详见附件2）</w:t>
      </w:r>
      <w:r>
        <w:rPr>
          <w:rFonts w:eastAsia="仿宋"/>
          <w:sz w:val="32"/>
          <w:szCs w:val="32"/>
        </w:rPr>
        <w:t>要求，做</w:t>
      </w:r>
      <w:r>
        <w:rPr>
          <w:rFonts w:ascii="仿宋" w:eastAsia="仿宋" w:cs="宋体"/>
          <w:sz w:val="32"/>
          <w:szCs w:val="32"/>
        </w:rPr>
        <w:t>好监测设计、土样采集和测产验收等工作，完成效果监测评价。</w:t>
      </w:r>
    </w:p>
    <w:p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/>
          <w:sz w:val="32"/>
          <w:szCs w:val="32"/>
        </w:rPr>
        <w:t>三</w:t>
      </w:r>
      <w:r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/>
          <w:sz w:val="32"/>
          <w:szCs w:val="32"/>
        </w:rPr>
        <w:t>上报</w:t>
      </w:r>
      <w:r>
        <w:rPr>
          <w:rFonts w:ascii="黑体" w:eastAsia="黑体" w:hint="eastAsia"/>
          <w:sz w:val="32"/>
          <w:szCs w:val="32"/>
        </w:rPr>
        <w:t>资料</w:t>
      </w:r>
    </w:p>
    <w:p>
      <w:pPr>
        <w:adjustRightInd w:val="0"/>
        <w:spacing w:line="600" w:lineRule="exact"/>
        <w:ind w:firstLineChars="200" w:firstLine="640"/>
        <w:textAlignment w:val="baseline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试验完成后，</w:t>
      </w:r>
      <w:r>
        <w:rPr>
          <w:rFonts w:ascii="仿宋" w:eastAsia="仿宋" w:hint="eastAsia"/>
          <w:sz w:val="32"/>
          <w:szCs w:val="32"/>
        </w:rPr>
        <w:t>各项目</w:t>
      </w:r>
      <w:r>
        <w:rPr>
          <w:rFonts w:ascii="仿宋" w:eastAsia="仿宋" w:cs="宋体" w:hint="eastAsia"/>
          <w:sz w:val="32"/>
          <w:szCs w:val="32"/>
        </w:rPr>
        <w:t>县</w:t>
      </w:r>
      <w:r>
        <w:rPr>
          <w:rFonts w:ascii="仿宋" w:eastAsia="仿宋" w:cs="宋体"/>
          <w:sz w:val="32"/>
          <w:szCs w:val="32"/>
        </w:rPr>
        <w:t>（市、区）</w:t>
      </w:r>
      <w:r>
        <w:rPr>
          <w:rFonts w:ascii="仿宋" w:eastAsia="仿宋" w:hint="eastAsia"/>
          <w:sz w:val="32"/>
          <w:szCs w:val="32"/>
        </w:rPr>
        <w:t>请于</w:t>
      </w:r>
      <w:r>
        <w:rPr>
          <w:rFonts w:eastAsia="仿宋"/>
          <w:sz w:val="32"/>
          <w:szCs w:val="32"/>
        </w:rPr>
        <w:t>2022年10月30日前将试验具体方案、观察记载表、试验总结以及实施过程中的图片（视频）资料汇集成册，盖章寄送省站，同时发送电子邮件。联系方式：省土肥总站 张世昌，电话：0591-88011260，</w:t>
      </w:r>
      <w:r>
        <w:rPr>
          <w:rFonts w:ascii="仿宋" w:eastAsia="仿宋" w:hint="eastAsia"/>
          <w:sz w:val="32"/>
          <w:szCs w:val="32"/>
        </w:rPr>
        <w:t>电子邮箱：</w:t>
      </w:r>
      <w:r>
        <w:rPr>
          <w:rStyle w:val="0"/>
          <w:rFonts w:eastAsia="仿宋"/>
          <w:sz w:val="32"/>
          <w:szCs w:val="32"/>
        </w:rPr>
        <w:fldChar w:fldCharType="begin"/>
      </w:r>
      <w:r>
        <w:instrText>HYPERLINK "mailto:18659191557@163.com"</w:instrText>
      </w:r>
      <w:r>
        <w:rPr>
          <w:rStyle w:val="0"/>
          <w:rFonts w:eastAsia="仿宋"/>
          <w:sz w:val="32"/>
          <w:szCs w:val="32"/>
        </w:rPr>
        <w:fldChar w:fldCharType="separate"/>
      </w:r>
      <w:r>
        <w:rPr>
          <w:rStyle w:val="0"/>
          <w:rFonts w:eastAsia="仿宋"/>
          <w:sz w:val="32"/>
          <w:szCs w:val="32"/>
        </w:rPr>
        <w:t>18659191557@163.com</w:t>
      </w:r>
      <w:r>
        <w:rPr>
          <w:rStyle w:val="0"/>
          <w:rFonts w:eastAsia="仿宋"/>
          <w:sz w:val="32"/>
          <w:szCs w:val="32"/>
        </w:rPr>
        <w:fldChar w:fldCharType="end"/>
      </w:r>
      <w:r>
        <w:rPr>
          <w:rFonts w:eastAsia="仿宋"/>
          <w:sz w:val="32"/>
          <w:szCs w:val="32"/>
        </w:rPr>
        <w:t>。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eastAsia="仿宋"/>
          <w:sz w:val="44"/>
          <w:szCs w:val="44"/>
        </w:rPr>
      </w:pPr>
      <w:r>
        <w:rPr>
          <w:rFonts w:eastAsia="仿宋"/>
          <w:sz w:val="32"/>
          <w:szCs w:val="32"/>
        </w:rPr>
        <w:t>附件：1、</w:t>
      </w:r>
      <w:r>
        <w:rPr>
          <w:rFonts w:eastAsia="仿宋"/>
          <w:bCs/>
          <w:sz w:val="32"/>
          <w:szCs w:val="32"/>
        </w:rPr>
        <w:t>2021年紫云英绿肥田间试验方案</w:t>
      </w:r>
    </w:p>
    <w:p>
      <w:pPr>
        <w:spacing w:line="600" w:lineRule="exac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      2、2021年紫云英绿肥示范片效果监测实施方案</w:t>
      </w:r>
    </w:p>
    <w:p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Chars="950" w:firstLine="3040"/>
        <w:rPr>
          <w:rFonts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福建省</w:t>
      </w:r>
      <w:r>
        <w:rPr>
          <w:rFonts w:eastAsia="仿宋"/>
          <w:sz w:val="32"/>
          <w:szCs w:val="32"/>
        </w:rPr>
        <w:t>农田建设与土壤肥料技术总站</w:t>
      </w:r>
    </w:p>
    <w:p>
      <w:pPr>
        <w:spacing w:line="600" w:lineRule="exact"/>
        <w:ind w:firstLineChars="1400" w:firstLine="4480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>2021年3月15日</w:t>
      </w: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2021年紫云英绿肥田间试验方案</w:t>
      </w:r>
    </w:p>
    <w:p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>
      <w:pPr>
        <w:spacing w:line="360" w:lineRule="auto"/>
        <w:ind w:left="15" w:firstLineChars="200" w:firstLine="640"/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为筛选出适合我省种植的紫云英品种，达到土壤改良、减肥增效、增产增收、提质增效和保护生态环境等目的，设置紫云英绿肥品种及后茬水稻</w:t>
      </w:r>
      <w:r>
        <w:rPr>
          <w:rFonts w:eastAsia="仿宋"/>
          <w:sz w:val="32"/>
          <w:szCs w:val="32"/>
        </w:rPr>
        <w:t>2</w:t>
      </w:r>
      <w:r>
        <w:rPr>
          <w:rFonts w:ascii="仿宋" w:eastAsia="仿宋" w:hint="eastAsia"/>
          <w:sz w:val="32"/>
          <w:szCs w:val="32"/>
        </w:rPr>
        <w:t>个试验，为示范推广紫云英绿肥提供科学依据。</w:t>
      </w:r>
    </w:p>
    <w:p>
      <w:pPr>
        <w:spacing w:line="360" w:lineRule="auto"/>
        <w:ind w:leftChars="76" w:left="160" w:firstLineChars="150" w:firstLine="480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</w:t>
      </w:r>
      <w:r>
        <w:rPr>
          <w:rFonts w:ascii="黑体" w:eastAsia="黑体" w:hint="eastAsia"/>
          <w:kern w:val="0"/>
          <w:sz w:val="32"/>
          <w:szCs w:val="32"/>
        </w:rPr>
        <w:t>试验处理</w:t>
      </w:r>
    </w:p>
    <w:p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Cs/>
          <w:kern w:val="0"/>
          <w:sz w:val="32"/>
          <w:szCs w:val="32"/>
          <w:lang w:eastAsia="zh-CN"/>
        </w:rPr>
        <w:t>本试验共征集8个紫云英品种，均为近年来我省选育及各地中标的紫云英品种。试验对照（处理9）为</w:t>
      </w:r>
      <w:r>
        <w:rPr>
          <w:rFonts w:ascii="Times New Roman" w:eastAsia="仿宋" w:hAnsi="Times New Roman"/>
          <w:bCs/>
          <w:kern w:val="0"/>
          <w:sz w:val="32"/>
          <w:szCs w:val="32"/>
          <w:lang w:val="en-US" w:eastAsia="zh-CN"/>
        </w:rPr>
        <w:t>不种植紫云英绿肥空白区，8个</w:t>
      </w:r>
      <w:r>
        <w:rPr>
          <w:rFonts w:ascii="Times New Roman" w:eastAsia="仿宋" w:hAnsi="Times New Roman"/>
          <w:sz w:val="32"/>
          <w:szCs w:val="32"/>
        </w:rPr>
        <w:t>紫云英</w:t>
      </w:r>
      <w:r>
        <w:rPr>
          <w:rFonts w:ascii="Times New Roman" w:eastAsia="仿宋" w:hAnsi="Times New Roman"/>
          <w:bCs/>
          <w:kern w:val="0"/>
          <w:sz w:val="32"/>
          <w:szCs w:val="32"/>
          <w:lang w:val="en-US" w:eastAsia="zh-CN"/>
        </w:rPr>
        <w:t>品种统一采用编号zyy2021-X(序号），</w:t>
      </w:r>
      <w:r>
        <w:rPr>
          <w:rFonts w:ascii="Times New Roman" w:eastAsia="仿宋" w:hAnsi="Times New Roman"/>
          <w:sz w:val="32"/>
          <w:szCs w:val="32"/>
        </w:rPr>
        <w:t>其种子由我站统一邮寄各试验点。后茬水稻品种选择为当地主栽的水稻品种，按原9个处理实施，统一栽培措施。</w:t>
      </w:r>
    </w:p>
    <w:p>
      <w:pPr>
        <w:spacing w:line="360" w:lineRule="auto"/>
        <w:ind w:leftChars="76" w:left="160" w:firstLineChars="150" w:firstLine="480"/>
        <w:jc w:val="left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二、试验设计</w:t>
      </w:r>
    </w:p>
    <w:p>
      <w:pPr>
        <w:spacing w:line="360" w:lineRule="auto"/>
        <w:ind w:firstLineChars="200" w:firstLine="640"/>
        <w:rPr>
          <w:rFonts w:ascii="Times New Roman" w:eastAsia="仿宋" w:hAnsi="Times New Roman"/>
          <w:b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处理间不设重复，随机排列，每个处理小区面积50m</w:t>
      </w:r>
      <w:r>
        <w:rPr>
          <w:rFonts w:ascii="Times New Roman" w:eastAsia="仿宋" w:hAnsi="Times New Roman"/>
          <w:kern w:val="0"/>
          <w:sz w:val="32"/>
          <w:szCs w:val="32"/>
          <w:vertAlign w:val="superscript"/>
        </w:rPr>
        <w:t>2</w:t>
      </w:r>
      <w:r>
        <w:rPr>
          <w:rFonts w:ascii="Times New Roman" w:eastAsia="仿宋" w:hAnsi="Times New Roman"/>
          <w:kern w:val="0"/>
          <w:sz w:val="32"/>
          <w:szCs w:val="32"/>
          <w:vertAlign w:val="baseline"/>
        </w:rPr>
        <w:t>以上</w:t>
      </w:r>
      <w:r>
        <w:rPr>
          <w:rFonts w:ascii="Times New Roman" w:eastAsia="仿宋" w:hAnsi="Times New Roman"/>
          <w:sz w:val="32"/>
          <w:szCs w:val="32"/>
        </w:rPr>
        <w:t>，</w:t>
      </w:r>
      <w:r>
        <w:rPr>
          <w:rFonts w:ascii="Times New Roman" w:eastAsia="仿宋" w:hAnsi="Times New Roman"/>
          <w:kern w:val="0"/>
          <w:sz w:val="32"/>
          <w:szCs w:val="32"/>
        </w:rPr>
        <w:t>设置保护行，做好标识</w:t>
      </w:r>
      <w:r>
        <w:rPr>
          <w:rFonts w:ascii="Times New Roman" w:eastAsia="仿宋" w:hAnsi="Times New Roman"/>
          <w:kern w:val="0"/>
          <w:sz w:val="32"/>
          <w:szCs w:val="32"/>
          <w:lang w:eastAsia="zh-CN"/>
        </w:rPr>
        <w:t>，小区之间以浅地沟隔开或预留</w:t>
      </w:r>
      <w:r>
        <w:rPr>
          <w:rFonts w:ascii="Times New Roman" w:eastAsia="仿宋" w:hAnsi="Times New Roman"/>
          <w:kern w:val="0"/>
          <w:sz w:val="32"/>
          <w:szCs w:val="32"/>
          <w:lang w:val="en-US" w:eastAsia="zh-CN"/>
        </w:rPr>
        <w:t>25-30 cm，为紫云英绿肥翻压还田的后茬水稻种植做小区隔埂</w:t>
      </w:r>
      <w:r>
        <w:rPr>
          <w:rFonts w:ascii="Times New Roman" w:eastAsia="仿宋" w:hAnsi="Times New Roman"/>
          <w:kern w:val="0"/>
          <w:sz w:val="32"/>
          <w:szCs w:val="32"/>
        </w:rPr>
        <w:t>。</w:t>
      </w:r>
    </w:p>
    <w:p>
      <w:pPr>
        <w:spacing w:line="360" w:lineRule="auto"/>
        <w:ind w:leftChars="76" w:left="160" w:firstLineChars="150" w:firstLine="480"/>
        <w:jc w:val="left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三、试验地选择</w:t>
      </w:r>
    </w:p>
    <w:p>
      <w:pPr>
        <w:spacing w:line="360" w:lineRule="auto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>试验所选地块应形状整齐、肥力均匀、具有代表性，避开居民区、道路、堆肥场所、树木遮荫、土传病害严重和其他人为活动的影响</w:t>
      </w:r>
      <w:r>
        <w:rPr>
          <w:rFonts w:ascii="Times New Roman" w:eastAsia="仿宋" w:hAnsi="Times New Roman"/>
          <w:kern w:val="0"/>
          <w:sz w:val="32"/>
          <w:szCs w:val="32"/>
          <w:lang w:eastAsia="zh-CN"/>
        </w:rPr>
        <w:t>。试验地前茬水稻尽量高留桩，收割粉碎的稻草在紫云英绿肥播种后均均撒到每个处理小区（包括空白对照区）确保每个处理小区稻草量基本相同</w:t>
      </w:r>
      <w:r>
        <w:rPr>
          <w:rFonts w:ascii="Times New Roman" w:eastAsia="仿宋" w:hAnsi="Times New Roman"/>
          <w:kern w:val="0"/>
          <w:sz w:val="32"/>
          <w:szCs w:val="32"/>
        </w:rPr>
        <w:t>。</w:t>
      </w:r>
    </w:p>
    <w:p>
      <w:pPr>
        <w:spacing w:line="360" w:lineRule="auto"/>
        <w:ind w:leftChars="76" w:left="160" w:firstLineChars="150" w:firstLine="480"/>
        <w:jc w:val="left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四、田间管理</w:t>
      </w:r>
    </w:p>
    <w:p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每亩紫云英绿肥播种量为2 kg（根据小区面积折算播种量），</w:t>
      </w:r>
      <w:r>
        <w:rPr>
          <w:rFonts w:ascii="Times New Roman" w:eastAsia="仿宋" w:hAnsi="Times New Roman"/>
          <w:sz w:val="32"/>
          <w:szCs w:val="32"/>
          <w:lang w:eastAsia="zh-CN"/>
        </w:rPr>
        <w:t>播种前保证田块湿润有利于紫云英绿肥出苗</w:t>
      </w:r>
      <w:r>
        <w:rPr>
          <w:rFonts w:ascii="Times New Roman" w:eastAsia="仿宋" w:hAnsi="Times New Roman"/>
          <w:sz w:val="32"/>
          <w:szCs w:val="32"/>
        </w:rPr>
        <w:t>，播种后用</w:t>
      </w:r>
      <w:r>
        <w:rPr>
          <w:rFonts w:ascii="Times New Roman" w:eastAsia="仿宋" w:hAnsi="Times New Roman"/>
          <w:sz w:val="32"/>
          <w:szCs w:val="32"/>
          <w:lang w:eastAsia="zh-CN"/>
        </w:rPr>
        <w:t>稻草均匀</w:t>
      </w:r>
      <w:r>
        <w:rPr>
          <w:rFonts w:ascii="Times New Roman" w:eastAsia="仿宋" w:hAnsi="Times New Roman"/>
          <w:sz w:val="32"/>
          <w:szCs w:val="32"/>
        </w:rPr>
        <w:t>覆盖</w:t>
      </w:r>
      <w:r>
        <w:rPr>
          <w:rFonts w:ascii="Times New Roman" w:eastAsia="仿宋" w:hAnsi="Times New Roman"/>
          <w:sz w:val="32"/>
          <w:szCs w:val="32"/>
          <w:lang w:eastAsia="zh-CN"/>
        </w:rPr>
        <w:t>（注意稻草量太多时，则不能覆盖太厚）</w:t>
      </w:r>
      <w:r>
        <w:rPr>
          <w:rFonts w:ascii="Times New Roman" w:eastAsia="仿宋" w:hAnsi="Times New Roman"/>
          <w:sz w:val="32"/>
          <w:szCs w:val="32"/>
        </w:rPr>
        <w:t>，起到保墒作用。苗期</w:t>
      </w:r>
      <w:r>
        <w:rPr>
          <w:rFonts w:ascii="Times New Roman" w:eastAsia="仿宋" w:hAnsi="Times New Roman"/>
          <w:sz w:val="32"/>
          <w:szCs w:val="32"/>
          <w:lang w:eastAsia="zh-CN"/>
        </w:rPr>
        <w:t>每个处理小区（含对照区）</w:t>
      </w:r>
      <w:r>
        <w:rPr>
          <w:rFonts w:ascii="Times New Roman" w:eastAsia="仿宋" w:hAnsi="Times New Roman"/>
          <w:sz w:val="32"/>
          <w:szCs w:val="32"/>
        </w:rPr>
        <w:t>亩施钙镁磷肥1</w:t>
      </w:r>
      <w:r>
        <w:rPr>
          <w:rFonts w:ascii="Times New Roman" w:eastAsia="仿宋" w:hAnsi="Times New Roman"/>
          <w:sz w:val="32"/>
          <w:szCs w:val="32"/>
          <w:lang w:val="en-US" w:eastAsia="zh-CN"/>
        </w:rPr>
        <w:t>5</w:t>
      </w:r>
      <w:r>
        <w:rPr>
          <w:rFonts w:ascii="Times New Roman" w:eastAsia="仿宋" w:hAnsi="Times New Roman"/>
          <w:sz w:val="32"/>
          <w:szCs w:val="32"/>
        </w:rPr>
        <w:t xml:space="preserve"> kg。遇连续干旱应灌水，春季注意外沟排水，防止渍害发生。</w:t>
      </w:r>
    </w:p>
    <w:p>
      <w:pPr>
        <w:spacing w:line="360" w:lineRule="auto"/>
        <w:ind w:leftChars="76" w:left="160" w:firstLineChars="150" w:firstLine="480"/>
        <w:jc w:val="left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五、试验观察记载</w:t>
      </w:r>
    </w:p>
    <w:p>
      <w:pPr>
        <w:spacing w:line="360" w:lineRule="auto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根据紫云英生长习性，观测记载各生长期时间，填写表1。各生长期说明：1、出苗期：50%幼苗出土后为出苗期；2、分枝期：50%植株长侧枝为分枝期；3、现蕾期：50%植株有花蕾出现为现蕾期；4、开花期：20%植株开花为开花初期；5、盛花期：80%植株开花为开花盛期。</w:t>
      </w:r>
    </w:p>
    <w:p>
      <w:pPr>
        <w:spacing w:line="360" w:lineRule="auto"/>
        <w:jc w:val="center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表1 不同处理的紫云英各生长期田间观测记载表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171"/>
        <w:gridCol w:w="1171"/>
        <w:gridCol w:w="1171"/>
        <w:gridCol w:w="1171"/>
        <w:gridCol w:w="1171"/>
        <w:gridCol w:w="1171"/>
      </w:tblGrid>
      <w:tr>
        <w:trPr>
          <w:trHeight w:val="331"/>
        </w:trPr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处理类型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播种期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出苗期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分枝期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现蕾期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开花期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盛花期</w:t>
            </w:r>
          </w:p>
        </w:tc>
      </w:tr>
      <w:tr>
        <w:trPr>
          <w:trHeight w:val="331"/>
        </w:trPr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处理1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val="331"/>
        </w:trPr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处理2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val="331"/>
        </w:trPr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处理3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val="331"/>
        </w:trPr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处理4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val="331"/>
        </w:trPr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处理</w:t>
            </w:r>
            <w:r>
              <w:rPr>
                <w:rFonts w:ascii="仿宋" w:eastAsia="仿宋" w:hint="eastAsia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val="331"/>
        </w:trPr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处理</w:t>
            </w:r>
            <w:r>
              <w:rPr>
                <w:rFonts w:ascii="仿宋" w:eastAsia="仿宋" w:hint="eastAsia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val="331"/>
        </w:trPr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处理</w:t>
            </w:r>
            <w:r>
              <w:rPr>
                <w:rFonts w:ascii="仿宋" w:eastAsia="仿宋" w:hint="eastAsia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val="331"/>
        </w:trPr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处理</w:t>
            </w:r>
            <w:r>
              <w:rPr>
                <w:rFonts w:ascii="仿宋" w:eastAsia="仿宋" w:hint="eastAsia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</w:tr>
      <w:tr>
        <w:trPr>
          <w:trHeight w:val="331"/>
        </w:trPr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仿宋" w:eastAsia="仿宋" w:hint="eastAsia"/>
                <w:color w:val="000000"/>
                <w:kern w:val="0"/>
                <w:szCs w:val="21"/>
              </w:rPr>
              <w:t>处理</w:t>
            </w:r>
            <w:r>
              <w:rPr>
                <w:rFonts w:ascii="仿宋" w:eastAsia="仿宋" w:hint="eastAsia"/>
                <w:color w:val="000000"/>
                <w:kern w:val="0"/>
                <w:szCs w:val="21"/>
                <w:lang w:val="en-US" w:eastAsia="zh-CN"/>
              </w:rPr>
              <w:t>9（对照）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" w:eastAsia="仿宋" w:hint="eastAsia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auto"/>
        <w:ind w:leftChars="76" w:left="160" w:firstLineChars="150" w:firstLine="480"/>
        <w:jc w:val="left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六、测产验收</w:t>
      </w:r>
    </w:p>
    <w:p>
      <w:pPr>
        <w:spacing w:line="360" w:lineRule="auto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紫云英绿肥测产验收：</w:t>
      </w:r>
      <w:r>
        <w:rPr>
          <w:rFonts w:ascii="Times New Roman" w:eastAsia="仿宋" w:hAnsi="Times New Roman"/>
          <w:sz w:val="32"/>
          <w:szCs w:val="32"/>
        </w:rPr>
        <w:t>在盛花期时，要进行现场测产验收，每个小区单收、单测，计算出亩鲜草产量；并分别观测记载株高、茎粗、根长、分株数、株数等农艺性状。</w:t>
      </w:r>
    </w:p>
    <w:p>
      <w:pPr>
        <w:spacing w:line="360" w:lineRule="auto"/>
        <w:ind w:left="0" w:firstLineChars="200" w:firstLine="640"/>
        <w:rPr>
          <w:rFonts w:eastAsia="仿宋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后茬水稻测产验收：</w:t>
      </w:r>
      <w:r>
        <w:rPr>
          <w:rFonts w:eastAsia="仿宋"/>
          <w:sz w:val="32"/>
          <w:szCs w:val="32"/>
        </w:rPr>
        <w:t>水稻收割时，各处理小区</w:t>
      </w:r>
      <w:r>
        <w:rPr>
          <w:rFonts w:eastAsia="仿宋"/>
          <w:sz w:val="32"/>
          <w:szCs w:val="32"/>
          <w:lang w:eastAsia="zh-CN"/>
        </w:rPr>
        <w:t>水</w:t>
      </w:r>
      <w:r>
        <w:rPr>
          <w:rFonts w:eastAsia="仿宋"/>
          <w:sz w:val="32"/>
          <w:szCs w:val="32"/>
        </w:rPr>
        <w:t>稻要进行测产验收</w:t>
      </w:r>
      <w:r>
        <w:rPr>
          <w:rFonts w:eastAsia="仿宋"/>
          <w:sz w:val="32"/>
          <w:szCs w:val="32"/>
          <w:lang w:eastAsia="zh-CN"/>
        </w:rPr>
        <w:t>（小区单打测湿重，干重以取</w:t>
      </w:r>
      <w:r>
        <w:rPr>
          <w:rFonts w:eastAsia="仿宋"/>
          <w:sz w:val="32"/>
          <w:szCs w:val="32"/>
          <w:lang w:val="en-US" w:eastAsia="zh-CN"/>
        </w:rPr>
        <w:t>1kg湿重水稻晒干或烘干计算晒干率来折算</w:t>
      </w:r>
      <w:r>
        <w:rPr>
          <w:rFonts w:eastAsia="仿宋"/>
          <w:sz w:val="32"/>
          <w:szCs w:val="32"/>
          <w:lang w:eastAsia="zh-CN"/>
        </w:rPr>
        <w:t>）</w:t>
      </w:r>
      <w:r>
        <w:rPr>
          <w:rFonts w:eastAsia="仿宋"/>
          <w:sz w:val="32"/>
          <w:szCs w:val="32"/>
        </w:rPr>
        <w:t>。并</w:t>
      </w:r>
      <w:r>
        <w:rPr>
          <w:rFonts w:eastAsia="仿宋"/>
          <w:sz w:val="32"/>
          <w:szCs w:val="32"/>
          <w:lang w:eastAsia="zh-CN"/>
        </w:rPr>
        <w:t>进行经济性状考种，考种内容有株高、有效穗、</w:t>
      </w:r>
      <w:r>
        <w:rPr>
          <w:rFonts w:eastAsia="仿宋"/>
          <w:sz w:val="32"/>
          <w:szCs w:val="32"/>
        </w:rPr>
        <w:t>穗粒数、</w:t>
      </w:r>
      <w:r>
        <w:rPr>
          <w:rFonts w:eastAsia="仿宋"/>
          <w:sz w:val="32"/>
          <w:szCs w:val="32"/>
          <w:lang w:eastAsia="zh-CN"/>
        </w:rPr>
        <w:t>结实率、千粒重、穗长等</w:t>
      </w:r>
      <w:r>
        <w:rPr>
          <w:rFonts w:eastAsia="仿宋"/>
          <w:sz w:val="32"/>
          <w:szCs w:val="32"/>
        </w:rPr>
        <w:t>。</w:t>
      </w:r>
    </w:p>
    <w:p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紫云英绿肥农艺性状说明：</w:t>
      </w:r>
      <w:r>
        <w:rPr>
          <w:rFonts w:eastAsia="仿宋"/>
          <w:kern w:val="0"/>
          <w:sz w:val="32"/>
          <w:szCs w:val="32"/>
        </w:rPr>
        <w:t>1、株高：</w:t>
      </w:r>
      <w:r>
        <w:rPr>
          <w:rFonts w:eastAsia="仿宋"/>
          <w:sz w:val="32"/>
          <w:szCs w:val="32"/>
        </w:rPr>
        <w:t>从地面至植株的最高部位（卷须除外）的绝对高度为株高。在每小区随机选测10株样株的株高，并计算平均株高，单位为厘米（cm）。2、茎粗：在每小区随机选测10株样株的茎粗，并计算平均茎粗，单位为厘米（cm）。3、</w:t>
      </w:r>
      <w:r>
        <w:rPr>
          <w:rFonts w:eastAsia="仿宋"/>
          <w:kern w:val="0"/>
          <w:sz w:val="32"/>
          <w:szCs w:val="32"/>
        </w:rPr>
        <w:t>分枝数：包括主茎在内的一级分枝个数，</w:t>
      </w:r>
      <w:r>
        <w:rPr>
          <w:rFonts w:eastAsia="仿宋"/>
          <w:sz w:val="32"/>
          <w:szCs w:val="32"/>
        </w:rPr>
        <w:t>在每小区随机选测10株样株的分枝，并计算平均分枝，单位为（个）。4、</w:t>
      </w:r>
      <w:r>
        <w:rPr>
          <w:rFonts w:eastAsia="仿宋"/>
          <w:kern w:val="0"/>
          <w:sz w:val="32"/>
          <w:szCs w:val="32"/>
        </w:rPr>
        <w:t>株数：测定单位面积内生长的紫云英株数，</w:t>
      </w:r>
      <w:r>
        <w:rPr>
          <w:rFonts w:eastAsia="仿宋"/>
          <w:sz w:val="32"/>
          <w:szCs w:val="32"/>
        </w:rPr>
        <w:t>并计算平均株数，单位为（个）。</w:t>
      </w:r>
      <w:r>
        <w:rPr>
          <w:rFonts w:eastAsia="仿宋"/>
          <w:kern w:val="0"/>
          <w:sz w:val="32"/>
          <w:szCs w:val="32"/>
        </w:rPr>
        <w:t>5、测产：</w:t>
      </w:r>
      <w:r>
        <w:rPr>
          <w:rFonts w:eastAsia="仿宋"/>
          <w:color w:val="000000"/>
          <w:sz w:val="32"/>
          <w:szCs w:val="32"/>
        </w:rPr>
        <w:t>盛花期试验小区</w:t>
      </w:r>
      <w:r>
        <w:rPr>
          <w:rFonts w:eastAsia="仿宋"/>
          <w:sz w:val="32"/>
          <w:szCs w:val="32"/>
        </w:rPr>
        <w:t>实割测产，计算出亩鲜草产量，产量包括鲜重和干重（指鲜草样品烘干后的重量）。</w:t>
      </w:r>
    </w:p>
    <w:p>
      <w:pPr>
        <w:spacing w:line="360" w:lineRule="auto"/>
        <w:jc w:val="center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表2 紫云英农艺性状观测</w:t>
      </w:r>
      <w:r>
        <w:rPr>
          <w:rFonts w:ascii="Times New Roman" w:eastAsia="黑体" w:hAnsi="Times New Roman" w:hint="eastAsia"/>
          <w:bCs/>
          <w:sz w:val="28"/>
          <w:szCs w:val="28"/>
          <w:lang w:eastAsia="zh-CN"/>
        </w:rPr>
        <w:t>及实割产量</w:t>
      </w:r>
      <w:r>
        <w:rPr>
          <w:rFonts w:ascii="Times New Roman" w:eastAsia="黑体" w:hAnsi="Times New Roman"/>
          <w:bCs/>
          <w:sz w:val="28"/>
          <w:szCs w:val="28"/>
        </w:rPr>
        <w:t>记载表</w:t>
      </w:r>
    </w:p>
    <w:tbl>
      <w:tblPr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45"/>
        <w:gridCol w:w="945"/>
        <w:gridCol w:w="1470"/>
        <w:gridCol w:w="1155"/>
        <w:gridCol w:w="1365"/>
        <w:gridCol w:w="1481"/>
      </w:tblGrid>
      <w:tr>
        <w:trPr>
          <w:trHeight w:val="303"/>
        </w:trPr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株高（cm）</w:t>
            </w: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茎粗(cm)</w:t>
            </w:r>
          </w:p>
        </w:tc>
        <w:tc>
          <w:tcPr>
            <w:tcW w:w="147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分枝数</w:t>
            </w:r>
          </w:p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(个/株)</w:t>
            </w: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株数</w:t>
            </w:r>
          </w:p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(个/小区)</w:t>
            </w: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鲜草产量（kg/小区）</w:t>
            </w:r>
          </w:p>
        </w:tc>
        <w:tc>
          <w:tcPr>
            <w:tcW w:w="148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Cs w:val="21"/>
                <w:lang w:val="en-US" w:eastAsia="zh-CN"/>
              </w:rPr>
              <w:t>紫云英干重</w:t>
            </w:r>
            <w:r>
              <w:rPr>
                <w:rFonts w:eastAsia="仿宋"/>
                <w:color w:val="000000"/>
                <w:kern w:val="0"/>
                <w:szCs w:val="21"/>
              </w:rPr>
              <w:t>（kg/小区）</w:t>
            </w:r>
          </w:p>
        </w:tc>
      </w:tr>
      <w:tr>
        <w:trPr>
          <w:trHeight w:val="303"/>
        </w:trPr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处理1</w:t>
            </w: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03"/>
        </w:trPr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处理2</w:t>
            </w: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03"/>
        </w:trPr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处理3</w:t>
            </w: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03"/>
        </w:trPr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处理4</w:t>
            </w: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03"/>
        </w:trPr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处理5</w:t>
            </w: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03"/>
        </w:trPr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处理6</w:t>
            </w: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03"/>
        </w:trPr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处理7</w:t>
            </w: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03"/>
        </w:trPr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</w:t>
            </w:r>
            <w:r>
              <w:rPr>
                <w:rFonts w:eastAsia="仿宋"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03"/>
        </w:trPr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</w:t>
            </w:r>
            <w:r>
              <w:rPr>
                <w:rFonts w:eastAsia="仿宋"/>
                <w:bCs/>
                <w:color w:val="000000"/>
                <w:kern w:val="0"/>
                <w:szCs w:val="21"/>
                <w:lang w:val="en-US" w:eastAsia="zh-CN"/>
              </w:rPr>
              <w:t>9（对照）</w:t>
            </w: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1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表3  水稻农艺性状观测记载表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35"/>
        <w:gridCol w:w="704"/>
        <w:gridCol w:w="766"/>
        <w:gridCol w:w="735"/>
        <w:gridCol w:w="735"/>
        <w:gridCol w:w="728"/>
        <w:gridCol w:w="970"/>
        <w:gridCol w:w="1100"/>
        <w:gridCol w:w="1100"/>
      </w:tblGrid>
      <w:tr>
        <w:trPr>
          <w:trHeight w:val="623"/>
        </w:trPr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"/>
                <w:color w:val="000000"/>
                <w:kern w:val="0"/>
                <w:szCs w:val="21"/>
                <w:lang w:eastAsia="zh-CN"/>
              </w:rPr>
              <w:t>株高（</w:t>
            </w:r>
            <w:r>
              <w:rPr>
                <w:rFonts w:eastAsia="仿宋"/>
                <w:color w:val="000000"/>
                <w:kern w:val="0"/>
                <w:szCs w:val="21"/>
                <w:lang w:val="en-US" w:eastAsia="zh-CN"/>
              </w:rPr>
              <w:t>cm</w:t>
            </w:r>
            <w:r>
              <w:rPr>
                <w:rFonts w:eastAsia="仿宋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04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Cs w:val="21"/>
                <w:lang w:eastAsia="zh-CN"/>
              </w:rPr>
              <w:t>丛穗数（穗）</w:t>
            </w:r>
          </w:p>
        </w:tc>
        <w:tc>
          <w:tcPr>
            <w:tcW w:w="76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Cs w:val="21"/>
                <w:lang w:eastAsia="zh-CN"/>
              </w:rPr>
              <w:t>穗长（</w:t>
            </w:r>
            <w:r>
              <w:rPr>
                <w:rFonts w:eastAsia="仿宋"/>
                <w:color w:val="000000"/>
                <w:kern w:val="0"/>
                <w:szCs w:val="21"/>
                <w:lang w:val="en-US" w:eastAsia="zh-CN"/>
              </w:rPr>
              <w:t>cm）</w:t>
            </w: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穗粒数（粒）</w:t>
            </w: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穗实粒数(粒)</w:t>
            </w:r>
          </w:p>
        </w:tc>
        <w:tc>
          <w:tcPr>
            <w:tcW w:w="728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结实率（%）</w:t>
            </w: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千粒重</w:t>
            </w:r>
            <w:r>
              <w:rPr>
                <w:rFonts w:eastAsia="仿宋"/>
                <w:color w:val="000000"/>
                <w:kern w:val="0"/>
                <w:szCs w:val="21"/>
                <w:lang w:eastAsia="zh-CN"/>
              </w:rPr>
              <w:t>（干）</w:t>
            </w:r>
          </w:p>
          <w:p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（g）</w:t>
            </w: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Cs w:val="21"/>
                <w:lang w:val="en-US" w:eastAsia="zh-CN"/>
              </w:rPr>
              <w:t>小区实割水稻产量湿重（kg/小区）</w:t>
            </w: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"/>
                <w:color w:val="000000"/>
                <w:kern w:val="0"/>
                <w:szCs w:val="21"/>
                <w:lang w:val="en-US" w:eastAsia="zh-CN"/>
              </w:rPr>
              <w:t>小区实割水稻产量干重（kg/小区）</w:t>
            </w:r>
          </w:p>
        </w:tc>
      </w:tr>
      <w:tr>
        <w:trPr>
          <w:trHeight w:val="312"/>
        </w:trPr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处理1</w:t>
            </w: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12"/>
        </w:trPr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处理2</w:t>
            </w: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12"/>
        </w:trPr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处理3</w:t>
            </w: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12"/>
        </w:trPr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处理4</w:t>
            </w: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12"/>
        </w:trPr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处理5</w:t>
            </w: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12"/>
        </w:trPr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处理6</w:t>
            </w: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12"/>
        </w:trPr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处理7</w:t>
            </w: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12"/>
        </w:trPr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</w:t>
            </w:r>
            <w:r>
              <w:rPr>
                <w:rFonts w:eastAsia="仿宋"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12"/>
        </w:trPr>
        <w:tc>
          <w:tcPr>
            <w:tcW w:w="94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"/>
                <w:bCs/>
                <w:color w:val="000000"/>
                <w:kern w:val="0"/>
                <w:szCs w:val="21"/>
              </w:rPr>
              <w:t>处理</w:t>
            </w:r>
            <w:r>
              <w:rPr>
                <w:rFonts w:eastAsia="仿宋"/>
                <w:bCs/>
                <w:color w:val="000000"/>
                <w:kern w:val="0"/>
                <w:szCs w:val="21"/>
                <w:lang w:val="en-US" w:eastAsia="zh-CN"/>
              </w:rPr>
              <w:t>9（对照）</w:t>
            </w: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auto"/>
        <w:ind w:leftChars="76" w:left="160" w:firstLineChars="150" w:firstLine="480"/>
        <w:jc w:val="left"/>
        <w:rPr>
          <w:rFonts w:ascii="黑体" w:eastAsia="黑体" w:hint="eastAsia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七、样品采集与检测</w:t>
      </w:r>
    </w:p>
    <w:p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基础土样：</w:t>
      </w:r>
      <w:r>
        <w:rPr>
          <w:rFonts w:eastAsia="仿宋"/>
          <w:sz w:val="32"/>
          <w:szCs w:val="32"/>
        </w:rPr>
        <w:t>试验地的水稻收割后，采集1个基础土样。</w:t>
      </w:r>
    </w:p>
    <w:p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紫云英绿肥处理小区土样：</w:t>
      </w:r>
      <w:r>
        <w:rPr>
          <w:rFonts w:ascii="Times New Roman" w:eastAsia="仿宋" w:hAnsi="Times New Roman"/>
          <w:bCs/>
          <w:sz w:val="32"/>
          <w:szCs w:val="32"/>
        </w:rPr>
        <w:t>在</w:t>
      </w:r>
      <w:r>
        <w:rPr>
          <w:rFonts w:ascii="Times New Roman" w:eastAsia="仿宋" w:hAnsi="Times New Roman"/>
          <w:sz w:val="32"/>
          <w:szCs w:val="32"/>
        </w:rPr>
        <w:t>紫云英绿肥翻压还田20天后采集各处理小区土样，再进行后茬水稻施肥插秧，其中确保紫云英绿肥翻压还田灌水后不流出试验地。</w:t>
      </w:r>
    </w:p>
    <w:p>
      <w:pPr>
        <w:spacing w:line="360" w:lineRule="auto"/>
        <w:ind w:firstLineChars="200" w:firstLine="640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后茬水稻处理小区土样：</w:t>
      </w:r>
      <w:r>
        <w:rPr>
          <w:rFonts w:ascii="Times New Roman" w:eastAsia="仿宋" w:hAnsi="Times New Roman"/>
          <w:bCs/>
          <w:sz w:val="32"/>
          <w:szCs w:val="32"/>
        </w:rPr>
        <w:t>后茬水稻</w:t>
      </w:r>
      <w:r>
        <w:rPr>
          <w:rFonts w:ascii="Times New Roman" w:eastAsia="仿宋" w:hAnsi="Times New Roman"/>
          <w:sz w:val="32"/>
          <w:szCs w:val="32"/>
        </w:rPr>
        <w:t>收割后，采集各处理小区土样。</w:t>
      </w:r>
    </w:p>
    <w:p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土样采集检测：</w:t>
      </w:r>
      <w:r>
        <w:rPr>
          <w:rFonts w:ascii="Times New Roman" w:eastAsia="仿宋" w:hAnsi="Times New Roman"/>
          <w:sz w:val="32"/>
          <w:szCs w:val="32"/>
        </w:rPr>
        <w:t>按S形法采集土样，自然风干后保留1kg待测；土样检测项目：pH值、有机质、碱解氮、有效磷、速效钾。</w:t>
      </w:r>
    </w:p>
    <w:p>
      <w:pPr>
        <w:spacing w:line="360" w:lineRule="auto"/>
        <w:ind w:leftChars="76" w:left="160" w:firstLineChars="150" w:firstLine="480"/>
        <w:jc w:val="left"/>
        <w:rPr>
          <w:rFonts w:ascii="黑体" w:eastAsia="黑体" w:hint="eastAsia"/>
          <w:bCs/>
          <w:kern w:val="0"/>
          <w:sz w:val="32"/>
          <w:szCs w:val="32"/>
          <w:lang w:eastAsia="zh-CN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八、后茬水稻</w:t>
      </w:r>
      <w:r>
        <w:rPr>
          <w:rFonts w:ascii="黑体" w:eastAsia="黑体" w:hint="eastAsia"/>
          <w:bCs/>
          <w:kern w:val="0"/>
          <w:sz w:val="32"/>
          <w:szCs w:val="32"/>
          <w:lang w:eastAsia="zh-CN"/>
        </w:rPr>
        <w:t>化肥减量</w:t>
      </w:r>
    </w:p>
    <w:p>
      <w:pPr>
        <w:spacing w:line="360" w:lineRule="auto"/>
        <w:rPr>
          <w:rFonts w:ascii="Times New Roman" w:eastAsia="仿宋" w:hAnsi="Times New Roman"/>
          <w:sz w:val="28"/>
          <w:szCs w:val="28"/>
          <w:lang w:val="en-US" w:eastAsia="zh-CN"/>
        </w:rPr>
      </w:pPr>
      <w:r>
        <w:rPr>
          <w:rFonts w:ascii="Times New Roman" w:eastAsia="仿宋" w:hAnsi="Times New Roman"/>
          <w:sz w:val="32"/>
          <w:szCs w:val="32"/>
          <w:lang w:val="en-US" w:eastAsia="zh-CN"/>
        </w:rPr>
        <w:t xml:space="preserve">   后茬水稻的空白对照区按照当地测土配方施肥水稻推荐化肥用量100%，其他种植紫云英处理区按照空白对照区的化肥减量30%。</w:t>
      </w:r>
    </w:p>
    <w:p>
      <w:pPr>
        <w:spacing w:line="360" w:lineRule="auto"/>
        <w:ind w:leftChars="76" w:left="160" w:firstLineChars="150" w:firstLine="480"/>
        <w:jc w:val="left"/>
        <w:rPr>
          <w:rFonts w:ascii="黑体" w:eastAsia="黑体" w:hint="eastAsia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  <w:lang w:val="en-US" w:eastAsia="zh-CN"/>
        </w:rPr>
        <w:t>九、</w:t>
      </w:r>
      <w:r>
        <w:rPr>
          <w:rFonts w:ascii="黑体" w:eastAsia="黑体" w:hint="eastAsia"/>
          <w:bCs/>
          <w:kern w:val="0"/>
          <w:sz w:val="32"/>
          <w:szCs w:val="32"/>
        </w:rPr>
        <w:t>数据统计分析</w:t>
      </w:r>
    </w:p>
    <w:p>
      <w:pPr>
        <w:spacing w:line="360" w:lineRule="auto"/>
        <w:ind w:firstLineChars="200" w:firstLine="640"/>
        <w:rPr>
          <w:rFonts w:ascii="Times New Roman" w:eastAsia="仿宋" w:hAnsi="Times New Roman"/>
          <w:b/>
          <w:bCs/>
          <w:sz w:val="24"/>
        </w:rPr>
      </w:pPr>
      <w:r>
        <w:rPr>
          <w:rFonts w:ascii="Times New Roman" w:eastAsia="仿宋" w:hAnsi="Times New Roman"/>
          <w:sz w:val="32"/>
          <w:szCs w:val="32"/>
        </w:rPr>
        <w:t>试验结束后，应对数据进行认真审核。对异常数据逐一进行核实、逐一查找原始记录，剔除异常数据，确保数据真实有效。</w:t>
      </w: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ind w:firstLineChars="200" w:firstLine="640"/>
        <w:jc w:val="left"/>
        <w:rPr>
          <w:rFonts w:asci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黑体" w:eastAsia="黑体" w:cs="方正小标宋_GBK" w:hint="eastAsia"/>
          <w:sz w:val="32"/>
          <w:szCs w:val="32"/>
        </w:rPr>
      </w:pPr>
      <w:r>
        <w:rPr>
          <w:rFonts w:ascii="黑体" w:eastAsia="黑体" w:cs="方正小标宋_GBK" w:hint="eastAsia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 w:cs="方正小标宋_GBK" w:hint="eastAsia"/>
          <w:b/>
          <w:sz w:val="44"/>
          <w:szCs w:val="44"/>
        </w:rPr>
      </w:pPr>
      <w:r>
        <w:rPr>
          <w:rFonts w:ascii="方正小标宋简体" w:eastAsia="方正小标宋简体" w:cs="方正小标宋_GBK" w:hint="eastAsia"/>
          <w:b/>
          <w:sz w:val="44"/>
          <w:szCs w:val="44"/>
        </w:rPr>
        <w:t>2021年紫云英绿肥示范片</w:t>
      </w:r>
    </w:p>
    <w:p>
      <w:pPr>
        <w:spacing w:line="560" w:lineRule="exact"/>
        <w:jc w:val="center"/>
        <w:rPr>
          <w:rFonts w:ascii="方正小标宋简体" w:eastAsia="方正小标宋简体" w:cs="方正小标宋_GBK" w:hint="eastAsia"/>
          <w:b/>
          <w:sz w:val="44"/>
          <w:szCs w:val="44"/>
        </w:rPr>
      </w:pPr>
      <w:r>
        <w:rPr>
          <w:rFonts w:ascii="方正小标宋简体" w:eastAsia="方正小标宋简体" w:cs="方正小标宋_GBK" w:hint="eastAsia"/>
          <w:b/>
          <w:sz w:val="44"/>
          <w:szCs w:val="44"/>
        </w:rPr>
        <w:t>效果监测实施方案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</w:p>
    <w:p>
      <w:pPr>
        <w:spacing w:line="360" w:lineRule="auto"/>
        <w:ind w:firstLineChars="200" w:firstLine="640"/>
        <w:jc w:val="left"/>
        <w:rPr>
          <w:rFonts w:ascii="仿宋" w:eastAsia="仿宋" w:hint="eastAsia"/>
          <w:sz w:val="32"/>
          <w:szCs w:val="32"/>
        </w:rPr>
      </w:pPr>
      <w:r>
        <w:rPr>
          <w:rFonts w:ascii="仿宋" w:eastAsia="仿宋" w:cs="宋体"/>
          <w:sz w:val="32"/>
          <w:szCs w:val="32"/>
        </w:rPr>
        <w:t>本试验旨在研究</w:t>
      </w:r>
      <w:r>
        <w:rPr>
          <w:rFonts w:ascii="仿宋" w:eastAsia="仿宋" w:cs="宋体" w:hint="eastAsia"/>
          <w:sz w:val="32"/>
          <w:szCs w:val="32"/>
        </w:rPr>
        <w:t>紫云英绿肥翻压还田</w:t>
      </w:r>
      <w:r>
        <w:rPr>
          <w:rFonts w:ascii="仿宋" w:eastAsia="仿宋" w:cs="宋体"/>
          <w:sz w:val="32"/>
          <w:szCs w:val="32"/>
        </w:rPr>
        <w:t>后，对土壤地力和后茬作物</w:t>
      </w:r>
      <w:r>
        <w:rPr>
          <w:rFonts w:ascii="仿宋" w:eastAsia="仿宋" w:cs="宋体" w:hint="eastAsia"/>
          <w:sz w:val="32"/>
          <w:szCs w:val="32"/>
        </w:rPr>
        <w:t>化肥减量</w:t>
      </w:r>
      <w:r>
        <w:rPr>
          <w:rFonts w:ascii="仿宋" w:eastAsia="仿宋" w:cs="宋体"/>
          <w:sz w:val="32"/>
          <w:szCs w:val="32"/>
        </w:rPr>
        <w:t>的影响</w:t>
      </w:r>
      <w:r>
        <w:rPr>
          <w:rFonts w:ascii="仿宋" w:eastAsia="仿宋" w:cs="宋体" w:hint="eastAsia"/>
          <w:sz w:val="32"/>
          <w:szCs w:val="32"/>
        </w:rPr>
        <w:t>效果，为耕地质量提升</w:t>
      </w:r>
      <w:r>
        <w:rPr>
          <w:rFonts w:ascii="仿宋" w:eastAsia="仿宋" w:cs="宋体"/>
          <w:sz w:val="32"/>
          <w:szCs w:val="32"/>
        </w:rPr>
        <w:t>、</w:t>
      </w:r>
      <w:r>
        <w:rPr>
          <w:rFonts w:ascii="仿宋" w:eastAsia="仿宋" w:cs="宋体" w:hint="eastAsia"/>
          <w:sz w:val="32"/>
          <w:szCs w:val="32"/>
        </w:rPr>
        <w:t>化肥减量增效提供依据。</w:t>
      </w:r>
    </w:p>
    <w:p>
      <w:pPr>
        <w:spacing w:line="360" w:lineRule="auto"/>
        <w:ind w:firstLineChars="200" w:firstLine="640"/>
        <w:jc w:val="left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一、监测设计</w:t>
      </w:r>
    </w:p>
    <w:p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选择紫云英绿肥示范片时应设置小面积的空白对照区（详见图1），后茬作物施肥采用紫云英种植翻压还田+化肥（减量10%以上）；空白对照区（无种植紫云英绿肥）后茬作物施用化肥100%，小区设计如图1。</w:t>
      </w:r>
    </w:p>
    <w:tbl>
      <w:tblPr>
        <w:jc w:val="left"/>
        <w:tblInd w:w="376" w:type="dxa"/>
        <w:tblW w:w="7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4"/>
        <w:gridCol w:w="237"/>
        <w:gridCol w:w="1931"/>
      </w:tblGrid>
      <w:tr>
        <w:trPr>
          <w:trHeight w:val="1367"/>
        </w:trPr>
        <w:tc>
          <w:tcPr>
            <w:tcW w:w="5644" w:type="dxa"/>
          </w:tcPr>
          <w:p/>
          <w:p/>
          <w:p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>紫云英</w:t>
            </w:r>
            <w:r>
              <w:t>绿肥示范片</w:t>
            </w:r>
          </w:p>
        </w:tc>
        <w:tc>
          <w:tcPr>
            <w:tcW w:w="237" w:type="dxa"/>
            <w:shd w:val="clear" w:color="auto" w:fill="7F7F7F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/>
        </w:tc>
        <w:tc>
          <w:tcPr>
            <w:tcW w:w="1931" w:type="dxa"/>
          </w:tcPr>
          <w:p/>
          <w:p>
            <w:r>
              <w:t>空白对照区（</w:t>
            </w:r>
            <w:r>
              <w:rPr>
                <w:rFonts w:hint="eastAsia"/>
              </w:rPr>
              <w:t>无种植紫云英</w:t>
            </w:r>
            <w:r>
              <w:t>）</w:t>
            </w:r>
          </w:p>
          <w:p>
            <w:r>
              <w:t>（</w:t>
            </w:r>
            <w:r>
              <w:rPr>
                <w:rFonts w:hint="eastAsia"/>
              </w:rPr>
              <w:t>不少于100m</w:t>
            </w:r>
            <w:r>
              <w:rPr>
                <w:rFonts w:hint="eastAsia"/>
                <w:color w:val="000000"/>
                <w:vertAlign w:val="superscript"/>
              </w:rPr>
              <w:t>2</w:t>
            </w:r>
            <w:r>
              <w:t>）</w:t>
            </w:r>
          </w:p>
        </w:tc>
      </w:tr>
    </w:tbl>
    <w:p>
      <w:pPr>
        <w:ind w:left="0"/>
        <w:jc w:val="center"/>
        <w:rPr>
          <w:rFonts w:ascii="黑体" w:eastAsia="黑体" w:hint="eastAsia"/>
          <w:szCs w:val="21"/>
        </w:rPr>
      </w:pPr>
      <w:r>
        <w:rPr>
          <w:rFonts w:ascii="黑体" w:eastAsia="黑体" w:hint="eastAsia"/>
          <w:szCs w:val="21"/>
        </w:rPr>
        <w:t>图1：监测点小区布局图</w:t>
      </w:r>
    </w:p>
    <w:p>
      <w:pPr>
        <w:spacing w:line="360" w:lineRule="auto"/>
        <w:ind w:firstLineChars="200" w:firstLine="640"/>
        <w:jc w:val="left"/>
        <w:rPr>
          <w:rFonts w:ascii="黑体" w:eastAsia="黑体" w:hint="eastAsia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二、</w:t>
      </w:r>
      <w:r>
        <w:rPr>
          <w:rFonts w:ascii="黑体" w:eastAsia="黑体" w:hint="eastAsia"/>
          <w:kern w:val="0"/>
          <w:sz w:val="32"/>
          <w:szCs w:val="32"/>
        </w:rPr>
        <w:t>土样</w:t>
      </w:r>
      <w:r>
        <w:rPr>
          <w:rFonts w:ascii="黑体" w:eastAsia="黑体"/>
          <w:kern w:val="0"/>
          <w:sz w:val="32"/>
          <w:szCs w:val="32"/>
        </w:rPr>
        <w:t>采集与</w:t>
      </w:r>
      <w:r>
        <w:rPr>
          <w:rFonts w:ascii="黑体" w:eastAsia="黑体" w:hint="eastAsia"/>
          <w:kern w:val="0"/>
          <w:sz w:val="32"/>
          <w:szCs w:val="32"/>
        </w:rPr>
        <w:t>检测</w:t>
      </w:r>
    </w:p>
    <w:p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基础土样：</w:t>
      </w:r>
      <w:r>
        <w:rPr>
          <w:rFonts w:ascii="Times New Roman" w:eastAsia="仿宋" w:hAnsi="Times New Roman"/>
          <w:sz w:val="32"/>
          <w:szCs w:val="32"/>
        </w:rPr>
        <w:t>示范片的水稻收割后，采集1个基础土样。</w:t>
      </w:r>
    </w:p>
    <w:p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紫云英绿肥土样：</w:t>
      </w:r>
      <w:r>
        <w:rPr>
          <w:rFonts w:ascii="Times New Roman" w:eastAsia="仿宋" w:hAnsi="Times New Roman"/>
          <w:bCs/>
          <w:sz w:val="32"/>
          <w:szCs w:val="32"/>
        </w:rPr>
        <w:t>在</w:t>
      </w:r>
      <w:r>
        <w:rPr>
          <w:rFonts w:ascii="Times New Roman" w:eastAsia="仿宋" w:hAnsi="Times New Roman"/>
          <w:sz w:val="32"/>
          <w:szCs w:val="32"/>
        </w:rPr>
        <w:t>紫云英绿肥翻压还田后，后茬水稻施肥插秧前，采集示范片土样及空白对照区土样。</w:t>
      </w:r>
    </w:p>
    <w:p>
      <w:pPr>
        <w:spacing w:line="360" w:lineRule="auto"/>
        <w:ind w:firstLineChars="200" w:firstLine="640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后茬水稻土样：</w:t>
      </w:r>
      <w:r>
        <w:rPr>
          <w:rFonts w:ascii="Times New Roman" w:eastAsia="仿宋" w:hAnsi="Times New Roman"/>
          <w:bCs/>
          <w:sz w:val="32"/>
          <w:szCs w:val="32"/>
        </w:rPr>
        <w:t>后茬水稻</w:t>
      </w:r>
      <w:r>
        <w:rPr>
          <w:rFonts w:ascii="Times New Roman" w:eastAsia="仿宋" w:hAnsi="Times New Roman"/>
          <w:sz w:val="32"/>
          <w:szCs w:val="32"/>
        </w:rPr>
        <w:t>收割后，采集示范片土样及空白对照区土样。</w:t>
      </w:r>
    </w:p>
    <w:p>
      <w:pPr>
        <w:spacing w:line="360" w:lineRule="auto"/>
        <w:ind w:firstLineChars="200" w:firstLine="640"/>
        <w:jc w:val="left"/>
        <w:rPr>
          <w:rFonts w:ascii="仿宋_GB2312" w:eastAsia="仿宋" w:cs="宋体" w:hAnsi="仿宋_GB2312" w:hint="eastAsia"/>
          <w:color w:val="FF0000"/>
          <w:sz w:val="28"/>
          <w:szCs w:val="28"/>
          <w:lang w:eastAsia="zh-CN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土样采集检测：</w:t>
      </w:r>
      <w:r>
        <w:rPr>
          <w:rFonts w:ascii="Times New Roman" w:eastAsia="仿宋" w:hAnsi="Times New Roman"/>
          <w:sz w:val="32"/>
          <w:szCs w:val="32"/>
        </w:rPr>
        <w:t>按S形法采集土样，自然风干后保留1kg待测；土样检测项目：pH值、有机质、碱解氮、有效磷、速效钾。</w:t>
      </w:r>
    </w:p>
    <w:p>
      <w:pPr>
        <w:spacing w:line="360" w:lineRule="auto"/>
        <w:ind w:firstLineChars="200" w:firstLine="640"/>
        <w:jc w:val="left"/>
        <w:rPr>
          <w:rFonts w:ascii="黑体" w:eastAsia="黑体" w:cs="宋体" w:hint="eastAsia"/>
          <w:kern w:val="0"/>
          <w:sz w:val="32"/>
          <w:szCs w:val="32"/>
        </w:rPr>
      </w:pPr>
      <w:r>
        <w:rPr>
          <w:rFonts w:ascii="黑体" w:eastAsia="黑体" w:cs="宋体"/>
          <w:kern w:val="0"/>
          <w:sz w:val="32"/>
          <w:szCs w:val="32"/>
        </w:rPr>
        <w:t>三、</w:t>
      </w:r>
      <w:r>
        <w:rPr>
          <w:rFonts w:ascii="黑体" w:eastAsia="黑体" w:cs="宋体" w:hint="eastAsia"/>
          <w:kern w:val="0"/>
          <w:sz w:val="32"/>
          <w:szCs w:val="32"/>
        </w:rPr>
        <w:t>作物测产</w:t>
      </w:r>
      <w:r>
        <w:rPr>
          <w:rFonts w:ascii="黑体" w:eastAsia="黑体" w:cs="宋体"/>
          <w:kern w:val="0"/>
          <w:sz w:val="32"/>
          <w:szCs w:val="32"/>
        </w:rPr>
        <w:t>验收</w:t>
      </w:r>
    </w:p>
    <w:p>
      <w:pPr>
        <w:spacing w:line="360" w:lineRule="auto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紫云英绿肥测产验收：</w:t>
      </w:r>
      <w:r>
        <w:rPr>
          <w:rFonts w:ascii="Times New Roman" w:eastAsia="仿宋" w:hAnsi="Times New Roman"/>
          <w:sz w:val="32"/>
          <w:szCs w:val="32"/>
        </w:rPr>
        <w:t>在盛花期时，要对示范片及空白对照区进行现场测产验收，计算出亩</w:t>
      </w:r>
      <w:r>
        <w:rPr>
          <w:rFonts w:ascii="Times New Roman" w:eastAsia="仿宋" w:hAnsi="Times New Roman"/>
          <w:bCs/>
          <w:sz w:val="32"/>
          <w:szCs w:val="32"/>
        </w:rPr>
        <w:t>紫云英</w:t>
      </w:r>
      <w:r>
        <w:rPr>
          <w:rFonts w:ascii="Times New Roman" w:eastAsia="仿宋" w:hAnsi="Times New Roman"/>
          <w:sz w:val="32"/>
          <w:szCs w:val="32"/>
        </w:rPr>
        <w:t>鲜草产量。</w:t>
      </w:r>
    </w:p>
    <w:p>
      <w:pPr>
        <w:spacing w:line="360" w:lineRule="auto"/>
        <w:ind w:left="0" w:firstLineChars="200" w:firstLine="640"/>
        <w:jc w:val="left"/>
        <w:rPr>
          <w:rFonts w:ascii="仿宋" w:eastAsia="仿宋" w:cs="宋体" w:hint="eastAsia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后茬水稻测产验收：</w:t>
      </w:r>
      <w:r>
        <w:rPr>
          <w:rFonts w:ascii="Times New Roman" w:eastAsia="仿宋" w:hAnsi="Times New Roman"/>
          <w:sz w:val="32"/>
          <w:szCs w:val="32"/>
        </w:rPr>
        <w:t>水稻收割时，要对示范片及空白对照区进行测产验收，计算出亩</w:t>
      </w:r>
      <w:r>
        <w:rPr>
          <w:rFonts w:ascii="Times New Roman" w:eastAsia="仿宋" w:hAnsi="Times New Roman"/>
          <w:bCs/>
          <w:sz w:val="32"/>
          <w:szCs w:val="32"/>
        </w:rPr>
        <w:t>水稻</w:t>
      </w:r>
      <w:r>
        <w:rPr>
          <w:rFonts w:ascii="Times New Roman" w:eastAsia="仿宋" w:hAnsi="Times New Roman"/>
          <w:sz w:val="32"/>
          <w:szCs w:val="32"/>
        </w:rPr>
        <w:t>产量。</w:t>
      </w:r>
      <w:r>
        <w:rPr>
          <w:rFonts w:ascii="仿宋" w:eastAsia="仿宋"/>
          <w:sz w:val="32"/>
          <w:szCs w:val="32"/>
        </w:rPr>
        <w:t>有条件的县可开展稻米食味品质鉴评，鉴定其对品质的影响。</w:t>
      </w:r>
    </w:p>
    <w:p>
      <w:pPr>
        <w:ind w:firstLineChars="200" w:firstLine="640"/>
        <w:jc w:val="left"/>
        <w:rPr>
          <w:rFonts w:ascii="仿宋" w:eastAsia="仿宋" w:hint="eastAsia"/>
          <w:sz w:val="32"/>
          <w:szCs w:val="32"/>
        </w:rPr>
      </w:pPr>
    </w:p>
    <w:sectPr>
      <w:footerReference w:type="default" r:id="rId2"/>
      <w:footerReference w:type="even" r:id="rId3"/>
      <w:pgSz w:w="11907" w:h="16839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_GBK">
    <w:altName w:val="黑体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6"/>
      </w:rPr>
      <w:fldChar w:fldCharType="begin"/>
    </w:r>
    <w:r>
      <w:rPr>
        <w:rStyle w:val="16"/>
      </w:rPr>
      <w:instrText>Page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>
    <w:pPr>
      <w:pStyle w:val="15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6"/>
      </w:rPr>
      <w:fldChar w:fldCharType="begin"/>
    </w:r>
    <w:r>
      <w:rPr>
        <w:rStyle w:val="16"/>
      </w:rPr>
      <w:instrText>Page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>
    <w:pPr>
      <w:pStyle w:val="15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6">
    <w:name w:val="page number"/>
    <w:basedOn w:val="10"/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480</TotalTime>
  <Application>Yozo_Office</Application>
  <Pages>9</Pages>
  <Words>2793</Words>
  <Characters>2936</Characters>
  <Lines>446</Lines>
  <Paragraphs>116</Paragraphs>
  <CharactersWithSpaces>2953</CharactersWithSpaces>
  <Company>fjstfz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zhangshichang</dc:creator>
  <cp:lastModifiedBy>zhangshichang</cp:lastModifiedBy>
  <cp:revision>1</cp:revision>
  <cp:lastPrinted>2021-03-16T02:32:47Z</cp:lastPrinted>
  <dcterms:created xsi:type="dcterms:W3CDTF">2021-01-05T00:07:17Z</dcterms:created>
  <dcterms:modified xsi:type="dcterms:W3CDTF">2021-03-16T02:34:13Z</dcterms:modified>
</cp:coreProperties>
</file>