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left="0"/>
        <w:textAlignment w:val="auto"/>
        <w:rPr>
          <w:rFonts w:ascii="黑体" w:eastAsia="黑体" w:cs="仿宋" w:hint="eastAsia"/>
          <w:color w:val="auto"/>
          <w:sz w:val="32"/>
          <w:szCs w:val="32"/>
          <w:lang w:val="en-US" w:eastAsia="zh-CN"/>
        </w:rPr>
      </w:pPr>
      <w:r>
        <w:rPr>
          <w:rFonts w:ascii="黑体" w:eastAsia="黑体" w:cs="仿宋" w:hint="eastAsia"/>
          <w:color w:val="auto"/>
          <w:sz w:val="32"/>
          <w:szCs w:val="32"/>
          <w:lang w:eastAsia="zh-CN"/>
        </w:rPr>
        <w:t>附件</w:t>
      </w:r>
      <w:r>
        <w:rPr>
          <w:rFonts w:ascii="黑体" w:eastAsia="黑体" w:cs="仿宋" w:hint="eastAsia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eastAsia="黑体" w:hint="eastAsia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方正小标宋简体" w:eastAsia="方正小标宋简体" w:hint="eastAsia"/>
          <w:color w:val="auto"/>
          <w:sz w:val="44"/>
          <w:szCs w:val="44"/>
        </w:rPr>
      </w:pPr>
      <w:r>
        <w:rPr>
          <w:rFonts w:ascii="方正小标宋简体" w:eastAsia="方正小标宋简体" w:hint="eastAsia"/>
          <w:color w:val="auto"/>
          <w:sz w:val="44"/>
          <w:szCs w:val="44"/>
        </w:rPr>
        <w:t>福建省水稻品种审定标准（2021年</w:t>
      </w:r>
      <w:r>
        <w:rPr>
          <w:rFonts w:ascii="方正小标宋简体" w:eastAsia="方正小标宋简体" w:hint="eastAsia"/>
          <w:color w:val="auto"/>
          <w:sz w:val="44"/>
          <w:szCs w:val="44"/>
          <w:lang w:eastAsia="zh-CN"/>
        </w:rPr>
        <w:t>修订</w:t>
      </w:r>
      <w:r>
        <w:rPr>
          <w:rFonts w:ascii="方正小标宋简体" w:eastAsia="方正小标宋简体" w:hint="eastAsia"/>
          <w:color w:val="auto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560"/>
        <w:textAlignment w:val="auto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  <w:lang w:val="en-US" w:eastAsia="zh-CN"/>
        </w:rPr>
        <w:t>1.</w:t>
      </w:r>
      <w:r>
        <w:rPr>
          <w:rFonts w:ascii="黑体" w:eastAsia="黑体" w:hint="eastAsia"/>
          <w:sz w:val="32"/>
          <w:szCs w:val="32"/>
        </w:rPr>
        <w:t>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  <w:lang w:val="en-US" w:eastAsia="zh-CN" w:bidi="ar-SA"/>
        </w:rPr>
        <w:t>1.1稻瘟病抗性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572"/>
        <w:textAlignment w:val="auto"/>
        <w:rPr>
          <w:rFonts w:ascii="仿宋_GB2312" w:eastAsia="仿宋_GB2312" w:hint="eastAsia"/>
          <w:spacing w:val="-17"/>
          <w:sz w:val="32"/>
          <w:szCs w:val="32"/>
          <w:lang w:eastAsia="zh-CN"/>
        </w:rPr>
      </w:pPr>
      <w:r>
        <w:rPr>
          <w:rFonts w:ascii="仿宋_GB2312" w:eastAsia="仿宋_GB2312" w:hint="eastAsia"/>
          <w:spacing w:val="-17"/>
          <w:sz w:val="32"/>
          <w:szCs w:val="32"/>
        </w:rPr>
        <w:t>品种稻瘟病综合抗性指数年度≤6.0，品种穗瘟损失率最高级≤7级</w:t>
      </w:r>
      <w:r>
        <w:rPr>
          <w:rFonts w:ascii="仿宋_GB2312" w:eastAsia="仿宋_GB2312" w:hint="eastAsia"/>
          <w:spacing w:val="-17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仿宋" w:eastAsia="仿宋_GB2312" w:cs="宋体" w:hAnsi="仿宋" w:hint="eastAsia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" w:eastAsia="仿宋_GB2312" w:cs="宋体" w:hAnsi="仿宋" w:hint="eastAsia"/>
          <w:color w:val="000000"/>
          <w:kern w:val="0"/>
          <w:sz w:val="32"/>
          <w:szCs w:val="32"/>
          <w:lang w:eastAsia="zh-CN" w:bidi="ar-SA"/>
        </w:rPr>
        <w:t>品种</w:t>
      </w:r>
      <w:r>
        <w:rPr>
          <w:rFonts w:ascii="仿宋" w:eastAsia="仿宋_GB2312" w:cs="宋体" w:hAnsi="仿宋" w:hint="eastAsia"/>
          <w:color w:val="000000"/>
          <w:kern w:val="0"/>
          <w:sz w:val="32"/>
          <w:szCs w:val="32"/>
          <w:lang w:bidi="ar-SA"/>
        </w:rPr>
        <w:t>稻瘟病综合抗性指数</w:t>
      </w:r>
      <w:r>
        <w:rPr>
          <w:rFonts w:ascii="仿宋" w:eastAsia="仿宋_GB2312" w:cs="宋体" w:hAnsi="仿宋" w:hint="eastAsia"/>
          <w:color w:val="000000"/>
          <w:kern w:val="0"/>
          <w:sz w:val="32"/>
          <w:szCs w:val="32"/>
          <w:lang w:eastAsia="zh-CN" w:bidi="ar-SA"/>
        </w:rPr>
        <w:t>年度</w:t>
      </w:r>
      <w:r>
        <w:rPr>
          <w:rFonts w:ascii="仿宋_GB2312" w:eastAsia="仿宋_GB2312" w:hint="eastAsia"/>
          <w:sz w:val="32"/>
          <w:szCs w:val="32"/>
        </w:rPr>
        <w:t>≤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5.0，</w:t>
      </w:r>
      <w:r>
        <w:rPr>
          <w:rFonts w:ascii="仿宋_GB2312" w:eastAsia="仿宋_GB2312" w:hint="eastAsia"/>
          <w:sz w:val="32"/>
          <w:szCs w:val="32"/>
        </w:rPr>
        <w:t>品种穗瘟损失率</w:t>
      </w:r>
      <w:r>
        <w:rPr>
          <w:rFonts w:ascii="仿宋_GB2312" w:eastAsia="仿宋_GB2312" w:hint="eastAsia"/>
          <w:sz w:val="32"/>
          <w:szCs w:val="32"/>
          <w:lang w:eastAsia="zh-CN"/>
        </w:rPr>
        <w:t>最高级为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9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  <w:lang w:eastAsia="zh-CN"/>
        </w:rPr>
        <w:t>的鉴定点数</w:t>
      </w:r>
      <w:r>
        <w:rPr>
          <w:rFonts w:ascii="仿宋_GB2312" w:eastAsia="仿宋_GB2312" w:hint="eastAsia"/>
          <w:sz w:val="32"/>
          <w:szCs w:val="32"/>
        </w:rPr>
        <w:t>≤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  <w:t>1.2生育期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仿宋_GB2312" w:eastAsia="仿宋_GB2312" w:cs="仿宋_GB2312" w:hint="eastAsia"/>
          <w:kern w:val="0"/>
          <w:sz w:val="32"/>
          <w:szCs w:val="32"/>
          <w:lang w:eastAsia="zh-CN" w:bidi="ar-SA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早稻迟熟组生育期比对照不长于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 w:bidi="ar-SA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天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eastAsia="zh-CN" w:bidi="ar-SA"/>
        </w:rPr>
        <w:t>，其中仅在福建南部稻区种植，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生育期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eastAsia="zh-CN" w:bidi="ar-SA"/>
        </w:rPr>
        <w:t>可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比对照不长于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 w:bidi="ar-SA"/>
        </w:rPr>
        <w:t>3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天;中稻</w:t>
      </w:r>
      <w:r>
        <w:rPr>
          <w:rFonts w:ascii="仿宋_GB2312" w:eastAsia="仿宋_GB2312" w:cs="仿宋_GB2312" w:hint="eastAsia"/>
          <w:kern w:val="0"/>
          <w:sz w:val="32"/>
          <w:szCs w:val="32"/>
          <w:lang w:bidi="ar-SA"/>
        </w:rPr>
        <w:t>组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比对照</w:t>
      </w:r>
      <w:r>
        <w:rPr>
          <w:rFonts w:ascii="仿宋_GB2312" w:eastAsia="仿宋_GB2312" w:cs="仿宋_GB2312" w:hint="eastAsia"/>
          <w:kern w:val="0"/>
          <w:sz w:val="32"/>
          <w:szCs w:val="32"/>
          <w:lang w:bidi="ar-SA"/>
        </w:rPr>
        <w:t>不长于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7</w:t>
      </w:r>
      <w:r>
        <w:rPr>
          <w:rFonts w:ascii="仿宋_GB2312" w:eastAsia="仿宋_GB2312" w:cs="仿宋_GB2312" w:hint="eastAsia"/>
          <w:kern w:val="0"/>
          <w:sz w:val="32"/>
          <w:szCs w:val="32"/>
          <w:lang w:bidi="ar-SA"/>
        </w:rPr>
        <w:t>天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;</w:t>
      </w:r>
      <w:r>
        <w:rPr>
          <w:rFonts w:ascii="仿宋_GB2312" w:eastAsia="仿宋_GB2312" w:cs="仿宋_GB2312" w:hint="eastAsia"/>
          <w:kern w:val="0"/>
          <w:sz w:val="32"/>
          <w:szCs w:val="32"/>
          <w:lang w:bidi="ar-SA"/>
        </w:rPr>
        <w:t>晚稻中熟组比对照不长于3天,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迟熟组比对照</w:t>
      </w:r>
      <w:r>
        <w:rPr>
          <w:rFonts w:ascii="仿宋_GB2312" w:eastAsia="仿宋_GB2312" w:cs="仿宋_GB2312" w:hint="eastAsia"/>
          <w:kern w:val="0"/>
          <w:sz w:val="32"/>
          <w:szCs w:val="32"/>
          <w:lang w:bidi="ar-SA"/>
        </w:rPr>
        <w:t>不长于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  <w:lang w:bidi="ar-SA"/>
        </w:rPr>
        <w:t>天</w:t>
      </w:r>
      <w:r>
        <w:rPr>
          <w:rFonts w:ascii="仿宋_GB2312" w:eastAsia="仿宋_GB2312" w:cs="仿宋_GB2312" w:hint="eastAsia"/>
          <w:kern w:val="0"/>
          <w:sz w:val="32"/>
          <w:szCs w:val="32"/>
          <w:lang w:eastAsia="zh-CN" w:bidi="ar-SA"/>
        </w:rPr>
        <w:t>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当区试对照品种进行更换时，由专业委员会对相应生育期指标作出调整。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  <w:t>1.3结实率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仿宋_GB2312" w:eastAsia="仿宋_GB2312" w:cs="仿宋_GB2312" w:hint="eastAsia"/>
          <w:color w:val="000000"/>
          <w:kern w:val="0"/>
          <w:sz w:val="32"/>
          <w:szCs w:val="32"/>
          <w:lang w:eastAsia="zh-CN" w:bidi="ar-SA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早、晚稻品种年度平均结实率≥70.0%，且结实率＜65.0%的区试点≤2个；中稻品种年度平均结实率≥75.0%，且结实率＜70.0%的区试点≤2个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  <w:t>1.4抗倒性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596"/>
        <w:textAlignment w:val="auto"/>
        <w:rPr>
          <w:rFonts w:ascii="仿宋" w:eastAsia="仿宋_GB2312" w:cs="宋体" w:hAnsi="仿宋" w:hint="eastAsia"/>
          <w:color w:val="000000"/>
          <w:spacing w:val="-11"/>
          <w:kern w:val="0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color w:val="000000"/>
          <w:spacing w:val="-11"/>
          <w:kern w:val="0"/>
          <w:sz w:val="32"/>
          <w:szCs w:val="32"/>
          <w:lang w:bidi="ar-SA"/>
        </w:rPr>
        <w:t>区域试验中小区倒伏试点数≤1/3，生产试验</w:t>
      </w:r>
      <w:r>
        <w:rPr>
          <w:rFonts w:ascii="仿宋_GB2312" w:eastAsia="仿宋_GB2312" w:cs="仿宋_GB2312" w:hint="eastAsia"/>
          <w:color w:val="000000"/>
          <w:spacing w:val="-11"/>
          <w:kern w:val="0"/>
          <w:sz w:val="32"/>
          <w:szCs w:val="32"/>
          <w:lang w:eastAsia="zh-CN" w:bidi="ar-SA"/>
        </w:rPr>
        <w:t>倒伏点数</w:t>
      </w:r>
      <w:r>
        <w:rPr>
          <w:rFonts w:ascii="仿宋_GB2312" w:eastAsia="仿宋_GB2312" w:cs="仿宋_GB2312" w:hint="eastAsia"/>
          <w:color w:val="000000"/>
          <w:spacing w:val="-11"/>
          <w:kern w:val="0"/>
          <w:sz w:val="32"/>
          <w:szCs w:val="32"/>
          <w:lang w:bidi="ar-SA"/>
        </w:rPr>
        <w:t>≤</w:t>
      </w:r>
      <w:r>
        <w:rPr>
          <w:rFonts w:ascii="仿宋_GB2312" w:eastAsia="仿宋_GB2312" w:cs="仿宋_GB2312" w:hint="eastAsia"/>
          <w:color w:val="000000"/>
          <w:spacing w:val="-11"/>
          <w:kern w:val="0"/>
          <w:sz w:val="32"/>
          <w:szCs w:val="32"/>
          <w:lang w:val="en-US" w:eastAsia="zh-CN" w:bidi="ar-SA"/>
        </w:rPr>
        <w:t>20.0%</w:t>
      </w:r>
      <w:r>
        <w:rPr>
          <w:rFonts w:ascii="仿宋_GB2312" w:eastAsia="仿宋_GB2312" w:cs="仿宋_GB2312" w:hint="eastAsia"/>
          <w:color w:val="000000"/>
          <w:spacing w:val="-11"/>
          <w:kern w:val="0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  <w:t>1.5一致性和真实性（SSR分子标记检测）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同一品种在不同试验年份、不同试验组别、不同试验渠道中DNA指纹检测差异位点数应当＜2个。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申请审定品种应当与已知品种DNA指纹检测差异位点数≥3个；申请审定品种与已知品种DNA指纹检测差异位点数=2个的，需进行田间小区种植鉴定证明有重要农艺性状差异。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  <w:lang w:val="en-US" w:eastAsia="zh-CN" w:bidi="ar-SA"/>
        </w:rPr>
        <w:t>2.</w:t>
      </w:r>
      <w:r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  <w:t>分类</w:t>
      </w:r>
      <w:r>
        <w:rPr>
          <w:rFonts w:ascii="黑体" w:eastAsia="黑体" w:cs="宋体" w:hint="eastAsia"/>
          <w:color w:val="000000"/>
          <w:kern w:val="0"/>
          <w:sz w:val="32"/>
          <w:szCs w:val="32"/>
          <w:lang w:eastAsia="zh-CN" w:bidi="ar-SA"/>
        </w:rPr>
        <w:t>品种</w:t>
      </w:r>
      <w:r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  <w:t>2.1高产品种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 w:bidi="ar-SA"/>
        </w:rPr>
        <w:t>年度区域试验产量比对照增产≥3.0%，增产点率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≥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 w:bidi="ar-SA"/>
        </w:rPr>
        <w:t>60.0%；年度生产试验产量表现与区域试验相对一致。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  <w:t>2.2绿色品种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仿宋" w:eastAsia="仿宋_GB2312" w:cs="宋体" w:hAnsi="仿宋" w:hint="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ascii="仿宋" w:eastAsia="仿宋_GB2312" w:cs="宋体" w:hAnsi="仿宋" w:hint="eastAsia"/>
          <w:color w:val="000000"/>
          <w:kern w:val="0"/>
          <w:sz w:val="32"/>
          <w:szCs w:val="32"/>
          <w:lang w:val="en-US" w:eastAsia="zh-CN" w:bidi="ar-SA"/>
        </w:rPr>
        <w:t>稻瘟病或白叶枯病或飞虱抗性达中抗及以上。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  <w:t>2.3优质品种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 w:bidi="ar-SA"/>
        </w:rPr>
        <w:t>品质达到《食用稻品种品质》（NY/T593-2013）优质食用稻标准。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color w:val="000000"/>
          <w:kern w:val="0"/>
          <w:sz w:val="32"/>
          <w:szCs w:val="32"/>
        </w:rPr>
        <w:t>2.4特殊类型品种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仿宋_GB2312" w:eastAsia="仿宋_GB2312" w:cs="仿宋_GB2312" w:hint="eastAsia"/>
          <w:kern w:val="0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val="en-US" w:eastAsia="zh-CN" w:bidi="ar-SA"/>
        </w:rPr>
        <w:t>2.4.1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bidi="ar-SA"/>
        </w:rPr>
        <w:t>有色稻品种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eastAsia="zh-CN" w:bidi="ar-SA"/>
        </w:rPr>
        <w:t>：</w:t>
      </w:r>
      <w:r>
        <w:rPr>
          <w:rFonts w:ascii="仿宋_GB2312" w:eastAsia="仿宋_GB2312" w:cs="仿宋_GB2312" w:hint="eastAsia"/>
          <w:kern w:val="0"/>
          <w:sz w:val="32"/>
          <w:szCs w:val="32"/>
          <w:lang w:eastAsia="zh-CN" w:bidi="ar-SA"/>
        </w:rPr>
        <w:t>糙米</w:t>
      </w:r>
      <w:r>
        <w:rPr>
          <w:rFonts w:ascii="仿宋_GB2312" w:eastAsia="仿宋_GB2312" w:cs="仿宋_GB2312" w:hint="eastAsia"/>
          <w:kern w:val="0"/>
          <w:sz w:val="32"/>
          <w:szCs w:val="32"/>
          <w:lang w:bidi="ar-SA"/>
        </w:rPr>
        <w:t>种皮为红色、黑色</w:t>
      </w:r>
      <w:r>
        <w:rPr>
          <w:rFonts w:ascii="仿宋_GB2312" w:eastAsia="仿宋_GB2312" w:cs="仿宋_GB2312" w:hint="eastAsia"/>
          <w:kern w:val="0"/>
          <w:sz w:val="32"/>
          <w:szCs w:val="32"/>
          <w:lang w:eastAsia="zh-CN" w:bidi="ar-SA"/>
        </w:rPr>
        <w:t>等，种皮黑色的要求黑色度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 w:bidi="ar-SA"/>
        </w:rPr>
        <w:t>≥80%，黑米色素≥1.0</w:t>
      </w:r>
      <w:r>
        <w:rPr>
          <w:rFonts w:ascii="仿宋_GB2312" w:eastAsia="仿宋_GB2312" w:cs="仿宋_GB2312" w:hint="eastAsia"/>
          <w:kern w:val="0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仿宋_GB2312" w:eastAsia="仿宋_GB2312" w:cs="仿宋_GB2312" w:hint="eastAsia"/>
          <w:kern w:val="0"/>
          <w:sz w:val="32"/>
          <w:szCs w:val="32"/>
          <w:lang w:eastAsia="zh-CN" w:bidi="ar-SA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val="en-US" w:eastAsia="zh-CN" w:bidi="ar-SA"/>
        </w:rPr>
        <w:t>2.4.2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bidi="ar-SA"/>
        </w:rPr>
        <w:t>糯稻品种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eastAsia="zh-CN" w:bidi="ar-SA"/>
        </w:rPr>
        <w:t>：</w:t>
      </w:r>
      <w:r>
        <w:rPr>
          <w:rFonts w:ascii="仿宋_GB2312" w:eastAsia="仿宋_GB2312" w:cs="仿宋_GB2312" w:hint="eastAsia"/>
          <w:kern w:val="0"/>
          <w:sz w:val="32"/>
          <w:szCs w:val="32"/>
          <w:lang w:eastAsia="zh-CN" w:bidi="ar-SA"/>
        </w:rPr>
        <w:t>区域试验</w:t>
      </w:r>
      <w:r>
        <w:rPr>
          <w:rFonts w:ascii="仿宋_GB2312" w:eastAsia="仿宋_GB2312" w:cs="仿宋_GB2312" w:hint="eastAsia"/>
          <w:kern w:val="0"/>
          <w:sz w:val="32"/>
          <w:szCs w:val="32"/>
          <w:lang w:bidi="ar-SA"/>
        </w:rPr>
        <w:t>两年检测结果直链淀粉含量平均不高于2</w:t>
      </w:r>
      <w:r>
        <w:rPr>
          <w:rFonts w:ascii="仿宋_GB2312" w:eastAsia="仿宋_GB2312" w:cs="仿宋_GB2312" w:hint="eastAsia"/>
          <w:kern w:val="0"/>
          <w:sz w:val="32"/>
          <w:szCs w:val="32"/>
          <w:lang w:val="en-US" w:eastAsia="zh-CN" w:bidi="ar-SA"/>
        </w:rPr>
        <w:t>.0</w:t>
      </w:r>
      <w:r>
        <w:rPr>
          <w:rFonts w:ascii="仿宋_GB2312" w:eastAsia="仿宋_GB2312" w:cs="仿宋_GB2312" w:hint="eastAsia"/>
          <w:kern w:val="0"/>
          <w:sz w:val="32"/>
          <w:szCs w:val="32"/>
          <w:lang w:bidi="ar-SA"/>
        </w:rPr>
        <w:t>%，年度检测结果直链淀粉含量不高于2.2%</w:t>
      </w:r>
      <w:r>
        <w:rPr>
          <w:rFonts w:ascii="仿宋_GB2312" w:eastAsia="仿宋_GB2312" w:cs="仿宋_GB2312" w:hint="eastAsia"/>
          <w:kern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仿宋_GB2312" w:eastAsia="仿宋_GB2312" w:cs="仿宋_GB2312" w:hint="eastAsia"/>
          <w:kern w:val="0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val="en-US" w:eastAsia="zh-CN" w:bidi="ar-SA"/>
        </w:rPr>
        <w:t>2.4.3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bidi="ar-SA"/>
        </w:rPr>
        <w:t>加工专用稻品种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eastAsia="zh-CN" w:bidi="ar-SA"/>
        </w:rPr>
        <w:t>：</w:t>
      </w:r>
      <w:r>
        <w:rPr>
          <w:rFonts w:ascii="仿宋_GB2312" w:eastAsia="仿宋_GB2312" w:cs="仿宋_GB2312" w:hint="eastAsia"/>
          <w:kern w:val="0"/>
          <w:sz w:val="32"/>
          <w:szCs w:val="32"/>
          <w:lang w:eastAsia="zh-CN" w:bidi="ar-SA"/>
        </w:rPr>
        <w:t>区域试验</w:t>
      </w:r>
      <w:r>
        <w:rPr>
          <w:rFonts w:ascii="仿宋_GB2312" w:eastAsia="仿宋_GB2312" w:cs="仿宋_GB2312" w:hint="eastAsia"/>
          <w:kern w:val="0"/>
          <w:sz w:val="32"/>
          <w:szCs w:val="32"/>
          <w:lang w:bidi="ar-SA"/>
        </w:rPr>
        <w:t>两年检测结果直链淀粉含量平均大于2</w:t>
      </w:r>
      <w:r>
        <w:rPr>
          <w:rFonts w:ascii="仿宋_GB2312" w:eastAsia="仿宋_GB2312" w:cs="仿宋_GB2312" w:hint="eastAsia"/>
          <w:kern w:val="0"/>
          <w:sz w:val="32"/>
          <w:szCs w:val="32"/>
          <w:lang w:val="en-US" w:eastAsia="zh-CN" w:bidi="ar-SA"/>
        </w:rPr>
        <w:t>6.0</w:t>
      </w:r>
      <w:r>
        <w:rPr>
          <w:rFonts w:ascii="仿宋_GB2312" w:eastAsia="仿宋_GB2312" w:cs="仿宋_GB2312" w:hint="eastAsia"/>
          <w:kern w:val="0"/>
          <w:sz w:val="32"/>
          <w:szCs w:val="32"/>
          <w:lang w:bidi="ar-SA"/>
        </w:rPr>
        <w:t>%，年度检测结果直链淀粉含量大于2</w:t>
      </w:r>
      <w:r>
        <w:rPr>
          <w:rFonts w:ascii="仿宋_GB2312" w:eastAsia="仿宋_GB2312" w:cs="仿宋_GB2312" w:hint="eastAsia"/>
          <w:kern w:val="0"/>
          <w:sz w:val="32"/>
          <w:szCs w:val="32"/>
          <w:lang w:val="en-US" w:eastAsia="zh-CN" w:bidi="ar-SA"/>
        </w:rPr>
        <w:t>5.0</w:t>
      </w:r>
      <w:r>
        <w:rPr>
          <w:rFonts w:ascii="仿宋_GB2312" w:eastAsia="仿宋_GB2312" w:cs="仿宋_GB2312" w:hint="eastAsia"/>
          <w:kern w:val="0"/>
          <w:sz w:val="32"/>
          <w:szCs w:val="32"/>
          <w:lang w:bidi="ar-SA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仿宋_GB2312" w:eastAsia="仿宋_GB2312" w:cs="仿宋_GB2312" w:hint="eastAsia"/>
          <w:color w:val="FF0000"/>
          <w:kern w:val="0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val="en-US" w:eastAsia="zh-CN" w:bidi="ar-SA"/>
        </w:rPr>
        <w:t>2.4.4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bidi="ar-SA"/>
        </w:rPr>
        <w:t>香稻品种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eastAsia="zh-CN" w:bidi="ar-SA"/>
        </w:rPr>
        <w:t>：</w:t>
      </w:r>
      <w:r>
        <w:rPr>
          <w:rFonts w:ascii="仿宋_GB2312" w:eastAsia="仿宋_GB2312" w:cs="仿宋_GB2312" w:hint="eastAsia"/>
          <w:b w:val="0"/>
          <w:bCs w:val="0"/>
          <w:kern w:val="0"/>
          <w:sz w:val="32"/>
          <w:szCs w:val="32"/>
          <w:lang w:eastAsia="zh-CN" w:bidi="ar-SA"/>
        </w:rPr>
        <w:t>米质</w:t>
      </w:r>
      <w:r>
        <w:rPr>
          <w:rFonts w:ascii="仿宋_GB2312" w:eastAsia="仿宋_GB2312" w:cs="仿宋_GB2312" w:hint="eastAsia"/>
          <w:kern w:val="0"/>
          <w:sz w:val="32"/>
          <w:szCs w:val="32"/>
          <w:lang w:bidi="ar-SA"/>
        </w:rPr>
        <w:t>香味评分不低于对照玉针香</w:t>
      </w:r>
      <w:r>
        <w:rPr>
          <w:rFonts w:ascii="仿宋_GB2312" w:eastAsia="仿宋_GB2312" w:cs="仿宋_GB2312" w:hint="eastAsia"/>
          <w:kern w:val="0"/>
          <w:sz w:val="32"/>
          <w:szCs w:val="32"/>
          <w:lang w:eastAsia="zh-CN" w:bidi="ar-SA"/>
        </w:rPr>
        <w:t>，区域试验两年米质检测结果</w:t>
      </w:r>
      <w:r>
        <w:rPr>
          <w:rFonts w:ascii="仿宋_GB2312" w:eastAsia="仿宋_GB2312" w:cs="仿宋_GB2312" w:hint="eastAsia"/>
          <w:kern w:val="0"/>
          <w:sz w:val="32"/>
          <w:szCs w:val="32"/>
          <w:lang w:bidi="ar-SA"/>
        </w:rPr>
        <w:t>与对照玉针香相当。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楷体_GB2312" w:eastAsia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color w:val="000000"/>
          <w:kern w:val="0"/>
          <w:sz w:val="32"/>
          <w:szCs w:val="32"/>
        </w:rPr>
        <w:t>2.5各分类品种审定指标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黑体" w:eastAsia="黑体" w:cs="宋体"/>
          <w:color w:val="000000"/>
          <w:kern w:val="0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 w:bidi="ar-SA"/>
        </w:rPr>
        <w:t>具体见附件1—1。</w:t>
      </w:r>
      <w:r>
        <w:rPr>
          <w:rFonts w:ascii="黑体" w:eastAsia="黑体" w:cs="宋体"/>
          <w:color w:val="000000"/>
          <w:kern w:val="0"/>
          <w:sz w:val="32"/>
          <w:szCs w:val="32"/>
          <w:lang w:bidi="ar-SA"/>
        </w:rPr>
        <w:br w:type="page"/>
      </w:r>
      <w:r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  <w:t>附件1</w:t>
      </w:r>
      <w:r>
        <w:rPr>
          <w:rFonts w:ascii="黑体" w:eastAsia="黑体" w:cs="宋体" w:hint="eastAsia"/>
          <w:color w:val="000000"/>
          <w:kern w:val="0"/>
          <w:sz w:val="32"/>
          <w:szCs w:val="32"/>
          <w:lang w:eastAsia="zh-CN" w:bidi="ar-SA"/>
        </w:rPr>
        <w:t>—</w:t>
      </w:r>
      <w:r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  <w:t>1</w:t>
      </w:r>
    </w:p>
    <w:p>
      <w:pPr>
        <w:adjustRightInd w:val="0"/>
        <w:snapToGrid w:val="0"/>
        <w:spacing w:line="580" w:lineRule="exact"/>
        <w:rPr>
          <w:rFonts w:ascii="方正小标宋简体" w:eastAsia="方正小标宋简体" w:cs="宋体"/>
          <w:color w:val="000000"/>
          <w:kern w:val="0"/>
          <w:sz w:val="44"/>
          <w:szCs w:val="44"/>
          <w:lang w:bidi="ar-SA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  <w:lang w:eastAsia="zh-CN" w:bidi="ar-SA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bidi="ar-SA"/>
        </w:rPr>
        <w:t>福建省水稻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eastAsia="zh-CN" w:bidi="ar-SA"/>
        </w:rPr>
        <w:t>分类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bidi="ar-SA"/>
        </w:rPr>
        <w:t>品种审定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eastAsia="zh-CN" w:bidi="ar-SA"/>
        </w:rPr>
        <w:t>指标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bidi="ar-SA"/>
        </w:rPr>
      </w:pPr>
    </w:p>
    <w:tbl>
      <w:tblPr>
        <w:jc w:val="center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664"/>
        <w:gridCol w:w="1196"/>
        <w:gridCol w:w="1311"/>
        <w:gridCol w:w="1276"/>
        <w:gridCol w:w="1103"/>
        <w:gridCol w:w="2475"/>
      </w:tblGrid>
      <w:tr>
        <w:trPr>
          <w:cantSplit/>
          <w:trHeight w:val="491"/>
        </w:trPr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  <w:t>类型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  <w:t>产量指标（与对照比较）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  <w:t>稻瘟病</w:t>
            </w:r>
            <w:r>
              <w:rPr>
                <w:rFonts w:ascii="黑体" w:eastAsia="黑体" w:cs="宋体" w:hint="eastAsia"/>
                <w:color w:val="000000"/>
                <w:kern w:val="0"/>
                <w:sz w:val="24"/>
                <w:lang w:eastAsia="zh-CN" w:bidi="ar-SA"/>
              </w:rPr>
              <w:t>或白叶枯病或飞虱</w:t>
            </w:r>
            <w:r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  <w:t>抗性指标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  <w:t>品质指标</w:t>
            </w:r>
          </w:p>
        </w:tc>
      </w:tr>
      <w:tr>
        <w:trPr>
          <w:cantSplit/>
          <w:trHeight w:val="658"/>
        </w:trPr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  <w:t>两年平均    +（%）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  <w:t>+（%）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lang w:bidi="ar-SA"/>
              </w:rPr>
              <w:t>年度增产点率（%）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377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高产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5.0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65.0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 w:val="0"/>
              <w:snapToGrid/>
              <w:jc w:val="center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感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一般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（有一项以上指标未达到部颁三等）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4.0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60.0</w:t>
            </w:r>
          </w:p>
        </w:tc>
        <w:tc>
          <w:tcPr>
            <w:tcW w:w="11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较优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（仅一项指标未达到部颁三等）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4.0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60.0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中感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一般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（有一项以上指标未达到部颁三等）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3.0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60.0</w:t>
            </w:r>
          </w:p>
        </w:tc>
        <w:tc>
          <w:tcPr>
            <w:tcW w:w="11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较优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（仅一项指标未达到部颁三等）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绿色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1.0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50.0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中抗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及以上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一般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（有一项以上指标未达到部颁三等）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0.0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较优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（仅一项指标未达到部颁三等）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优质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3.0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60.0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感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部颁优质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三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等或省优质稻品种评选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铜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奖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1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.0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1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部颁优质二等或省优质稻品种评选银奖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4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.0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4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部颁优质一等或省优质稻品种评选金奖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2.0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50.0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中感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部颁优质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三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等或省优质稻品种评选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铜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奖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2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.0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2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部颁优质二等或省优质稻品种评选银奖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5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.0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5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部颁优质一等或省优质稻品种评选金奖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1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.0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1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中抗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部颁优质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三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等或省优质稻品种评选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铜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奖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4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.0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4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部颁优质二等或省优质稻品种评选银奖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7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.0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7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bidi="ar-SA"/>
              </w:rPr>
              <w:t>部颁优质一等或省优质稻品种评选金奖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特殊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 xml:space="preserve"> 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类型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有色稻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对应上述标准，在抗性、品质同等条件下，红米、黑粘米品种产量指标相应降低一个百分点，黑糯米品种产量指标相应降低两个百分点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糯稻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对应上述标准，在抗性、品质同等条件下，产量指标相应降低一个百分点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加工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 xml:space="preserve">   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专用稻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按米质达部颁三等优质稻品种产量标准执行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香稻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年度试验产量不低于对照</w:t>
            </w:r>
          </w:p>
        </w:tc>
      </w:tr>
      <w:tr>
        <w:trPr>
          <w:cantSplit/>
          <w:trHeight w:val="37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备注</w:t>
            </w:r>
          </w:p>
        </w:tc>
        <w:tc>
          <w:tcPr>
            <w:tcW w:w="8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lang w:eastAsia="zh-CN" w:bidi="ar-SA"/>
              </w:rPr>
              <w:t>当对照产量低于组平均产量时，以组平均产量作为产量对照指标。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w:type="default" r:id="rId2"/>
      <w:footerReference w:type="even" r:id="rId3"/>
      <w:pgSz w:w="11907" w:h="16840"/>
      <w:pgMar w:top="1985" w:right="1361" w:bottom="1418" w:left="1531" w:header="851" w:footer="992" w:gutter="0"/>
      <w:pgNumType w:fmt="numberInDash" w:start="2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variable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微软雅黑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hint="eastAsia"/>
        <w:sz w:val="28"/>
        <w:szCs w:val="28"/>
      </w:rPr>
    </w:pPr>
    <w:r>
      <w:rPr>
        <w:rStyle w:val="20"/>
        <w:rFonts w:ascii="宋体" w:hint="eastAsia"/>
        <w:sz w:val="28"/>
        <w:szCs w:val="28"/>
      </w:rPr>
      <w:fldChar w:fldCharType="begin"/>
    </w:r>
    <w:r>
      <w:rPr>
        <w:rStyle w:val="20"/>
        <w:rFonts w:ascii="宋体" w:hint="eastAsia"/>
        <w:sz w:val="28"/>
        <w:szCs w:val="28"/>
      </w:rPr>
      <w:instrText>Page</w:instrText>
    </w:r>
    <w:r>
      <w:rPr>
        <w:rStyle w:val="20"/>
        <w:rFonts w:ascii="宋体" w:hint="eastAsia"/>
        <w:sz w:val="28"/>
        <w:szCs w:val="28"/>
      </w:rPr>
      <w:fldChar w:fldCharType="separate"/>
    </w:r>
    <w:r>
      <w:rPr>
        <w:rStyle w:val="20"/>
        <w:rFonts w:ascii="宋体" w:hint="eastAsia"/>
        <w:sz w:val="28"/>
        <w:szCs w:val="28"/>
      </w:rPr>
      <w:t>- 1 -</w:t>
    </w:r>
    <w:r>
      <w:rPr>
        <w:rStyle w:val="20"/>
        <w:rFonts w:ascii="宋体" w:hint="eastAsia"/>
        <w:sz w:val="28"/>
        <w:szCs w:val="28"/>
      </w:rPr>
      <w:fldChar w:fldCharType="end"/>
    </w:r>
  </w:p>
  <w:p>
    <w:pPr>
      <w:pStyle w:val="17"/>
      <w:tabs>
        <w:tab w:val="center" w:pos="4153"/>
        <w:tab w:val="right" w:pos="8307"/>
      </w:tabs>
      <w:ind w:left="0" w:right="360" w:firstLine="360"/>
      <w:rPr>
        <w:rFonts w:ascii="宋体" w:hint="eastAsia"/>
        <w:sz w:val="28"/>
        <w:szCs w:val="28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20"/>
      </w:rPr>
      <w:fldChar w:fldCharType="begin"/>
    </w:r>
    <w:r>
      <w:rPr>
        <w:rStyle w:val="20"/>
      </w:rPr>
      <w:instrText>Page</w:instrText>
    </w:r>
    <w:r>
      <w:rPr>
        <w:rStyle w:val="20"/>
      </w:rPr>
      <w:fldChar w:fldCharType="separate"/>
    </w:r>
    <w:r>
      <w:rPr>
        <w:rStyle w:val="20"/>
      </w:rPr>
      <w:t>- 1 -</w:t>
    </w:r>
    <w:r>
      <w:rPr>
        <w:rStyle w:val="20"/>
      </w:rPr>
      <w:fldChar w:fldCharType="end"/>
    </w:r>
  </w:p>
  <w:p>
    <w:pPr>
      <w:pStyle w:val="17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index 5"/>
    <w:next w:val="0"/>
    <w:pPr>
      <w:widowControl w:val="0"/>
      <w:ind w:left="630" w:firstLine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6">
    <w:name w:val="Date"/>
    <w:basedOn w:val="0"/>
    <w:next w:val="0"/>
    <w:rPr>
      <w:rFonts w:ascii="仿宋_GB2312" w:eastAsia="仿宋_GB2312"/>
      <w:sz w:val="32"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9">
    <w:name w:val="Normal (Web)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  <w:style w:type="character" w:styleId="20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</Application>
  <Pages>4</Pages>
  <Words>1359</Words>
  <Characters>1568</Characters>
  <Lines>185</Lines>
  <Paragraphs>129</Paragraphs>
  <CharactersWithSpaces>1582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陈双龙</dc:creator>
  <cp:lastModifiedBy>Microsoft</cp:lastModifiedBy>
  <cp:revision>1</cp:revision>
  <cp:lastPrinted>2021-12-17T10:00:14Z</cp:lastPrinted>
  <dcterms:created xsi:type="dcterms:W3CDTF">2021-12-09T16:10:00Z</dcterms:created>
  <dcterms:modified xsi:type="dcterms:W3CDTF">2021-12-17T09:53:58Z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2052-11.8.2.10183</vt:lpwstr>
  </property>
  <property fmtid="{D5CDD505-2E9C-101B-9397-08002B2CF9AE}" pid="3" name="ICV">
    <vt:lpwstr>99DD3B9F721E4AC28C736F12F38FCB94</vt:lpwstr>
  </property>
</Properties>
</file>