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ascii="黑体" w:eastAsia="黑体" w:cs="仿宋"/>
          <w:sz w:val="32"/>
          <w:szCs w:val="32"/>
          <w:lang w:val="en-US" w:eastAsia="zh-CN"/>
        </w:rPr>
      </w:pPr>
      <w:r>
        <w:rPr>
          <w:rFonts w:ascii="黑体" w:eastAsia="黑体" w:cs="仿宋" w:hint="eastAsia"/>
          <w:sz w:val="32"/>
          <w:szCs w:val="32"/>
          <w:lang w:eastAsia="zh-CN"/>
        </w:rPr>
        <w:t>附件</w:t>
      </w:r>
      <w:r>
        <w:rPr>
          <w:rFonts w:ascii="黑体" w:eastAsia="黑体" w:cs="仿宋" w:hint="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黑体" w:eastAsia="黑体"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福建省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鲜食玉米</w:t>
      </w:r>
      <w:r>
        <w:rPr>
          <w:rFonts w:ascii="方正小标宋简体" w:eastAsia="方正小标宋简体" w:hint="eastAsia"/>
          <w:sz w:val="44"/>
          <w:szCs w:val="44"/>
        </w:rPr>
        <w:t>品种审定标准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（202</w:t>
      </w: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年修订）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300" w:firstLine="840"/>
        <w:jc w:val="left"/>
        <w:textAlignment w:val="auto"/>
        <w:rPr>
          <w:rFonts w:ascii="方正黑体_GBK" w:eastAsia="方正黑体_GBK" w:cs="方正黑体_GBK" w:hint="eastAsia"/>
          <w:b/>
          <w:i w:val="0"/>
          <w:caps w:val="0"/>
          <w:smallCaps w:val="0"/>
          <w:color w:val="000000"/>
          <w:spacing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jc w:val="both"/>
        <w:textAlignment w:val="auto"/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  <w:t>1.基本条件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1.1品质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1.1.1品质鉴评：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品质鉴评分（外观品质和蒸煮品质评分之和）≥85.0分。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1.1.2品质检测：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鲜食甜玉米可溶性总糖含量≥10.0%；鲜食糯玉米直链淀粉（干基）占粗淀粉总量比率≤3.0% ，甜加糯型（同一果穗上同时存在甜和糯两种类型籽粒，属糯玉米中的一种特殊类型）直链淀粉（干基）占粗淀粉总量比率≤10.0%。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1.2抗逆性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1.2.1抗倒性：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每年平均倒伏、倒折率之和≤10.0%。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1.2.2抗病性：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纹枯病、小斑病、南方锈病、大斑病田间自然发病未达到高感。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1.3真实性和差异性（SSR分子标记检测）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同一品种在不同试验年份、不同试验组别、不同试验渠道中DNA指纹检测差异位点数应当</w:t>
      </w:r>
      <w:r>
        <w:rPr>
          <w:rFonts w:ascii="仿宋_GB2312" w:eastAsia="仿宋_GB2312" w:hint="eastAsia"/>
          <w:color w:val="auto"/>
          <w:sz w:val="32"/>
          <w:szCs w:val="32"/>
        </w:rPr>
        <w:t>＜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2个。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申请审定品种应当与已知品种DNA指纹检测差异位点数≥4个；申请审定品种与已知品种DNA指纹检测差异位点数=3个的，需进行田间小区种植鉴定证明有重要农艺性状差异。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jc w:val="both"/>
        <w:textAlignment w:val="auto"/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  <w:t>2.分类品种条件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2.1高产品种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年度区域试验鲜穗产量比对照平均增产≥3.0%，增产点比率≥60.0%。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2.2抗病品种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纹枯病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小斑病、南方锈病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大斑病田间自然发病均达到抗及以上，接菌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鉴定均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达到中抗及以上。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2.3优质品种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品质鉴评分≥8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2.4早熟品种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生育期甜玉米比对照早熟≥3.0天,糯玉米比对照早熟≥5.0天。当区试对照品种进行更换时，由专业委员会对相应生育期指标作出调整。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jc w:val="both"/>
        <w:textAlignment w:val="baseline"/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lang w:val="en-US" w:eastAsia="zh-CN"/>
        </w:rPr>
        <w:t>2.5各分类品种审定指标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600" w:lineRule="exact"/>
        <w:ind w:firstLineChars="200" w:firstLine="640"/>
        <w:jc w:val="both"/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具体见附件2-1。</w:t>
      </w:r>
    </w:p>
    <w:p>
      <w:pPr>
        <w:widowControl w:val="0"/>
        <w:suppressAutoHyphens/>
        <w:bidi w:val="0"/>
        <w:adjustRightInd w:val="0"/>
        <w:snapToGrid w:val="0"/>
        <w:spacing w:line="460" w:lineRule="exact"/>
        <w:jc w:val="left"/>
        <w:rPr>
          <w:rFonts w:ascii="仿宋" w:eastAsia="仿宋_GB2312" w:cs="宋体" w:hAnsi="仿宋"/>
          <w:b/>
          <w:color w:val="000000"/>
          <w:kern w:val="0"/>
          <w:sz w:val="30"/>
          <w:szCs w:val="30"/>
          <w:lang w:bidi="ar-SA"/>
        </w:rPr>
      </w:pPr>
    </w:p>
    <w:p>
      <w:pPr>
        <w:widowControl w:val="0"/>
        <w:suppressAutoHyphens/>
        <w:bidi w:val="0"/>
        <w:adjustRightInd w:val="0"/>
        <w:snapToGrid w:val="0"/>
        <w:spacing w:line="460" w:lineRule="exact"/>
        <w:jc w:val="left"/>
        <w:rPr>
          <w:rFonts w:ascii="仿宋" w:eastAsia="仿宋_GB2312" w:cs="宋体" w:hAnsi="仿宋"/>
          <w:b/>
          <w:color w:val="000000"/>
          <w:kern w:val="0"/>
          <w:sz w:val="30"/>
          <w:szCs w:val="30"/>
          <w:lang w:bidi="ar-SA"/>
        </w:rPr>
      </w:pPr>
    </w:p>
    <w:p>
      <w:pPr>
        <w:widowControl w:val="0"/>
        <w:suppressAutoHyphens/>
        <w:bidi w:val="0"/>
        <w:adjustRightInd w:val="0"/>
        <w:snapToGrid w:val="0"/>
        <w:spacing w:line="460" w:lineRule="exact"/>
        <w:jc w:val="left"/>
        <w:rPr>
          <w:rFonts w:ascii="仿宋" w:eastAsia="仿宋_GB2312" w:cs="宋体" w:hAnsi="仿宋"/>
          <w:b/>
          <w:color w:val="000000"/>
          <w:kern w:val="0"/>
          <w:sz w:val="30"/>
          <w:szCs w:val="30"/>
          <w:lang w:bidi="ar-SA"/>
        </w:rPr>
      </w:pPr>
    </w:p>
    <w:p>
      <w:pPr>
        <w:widowControl w:val="0"/>
        <w:suppressAutoHyphens/>
        <w:bidi w:val="0"/>
        <w:adjustRightInd w:val="0"/>
        <w:snapToGrid w:val="0"/>
        <w:spacing w:line="460" w:lineRule="exact"/>
        <w:jc w:val="left"/>
        <w:rPr>
          <w:rFonts w:ascii="仿宋" w:eastAsia="仿宋_GB2312" w:cs="宋体" w:hAnsi="仿宋"/>
          <w:b/>
          <w:color w:val="000000"/>
          <w:kern w:val="0"/>
          <w:sz w:val="30"/>
          <w:szCs w:val="30"/>
          <w:lang w:bidi="ar-SA"/>
        </w:rPr>
      </w:pPr>
    </w:p>
    <w:p>
      <w:pPr>
        <w:widowControl w:val="0"/>
        <w:suppressAutoHyphens/>
        <w:bidi w:val="0"/>
        <w:adjustRightInd w:val="0"/>
        <w:snapToGrid w:val="0"/>
        <w:spacing w:line="460" w:lineRule="exact"/>
        <w:jc w:val="left"/>
        <w:rPr>
          <w:rFonts w:ascii="仿宋" w:eastAsia="仿宋_GB2312" w:cs="宋体" w:hAnsi="仿宋"/>
          <w:b/>
          <w:color w:val="000000"/>
          <w:kern w:val="0"/>
          <w:sz w:val="30"/>
          <w:szCs w:val="30"/>
          <w:lang w:bidi="ar-SA"/>
        </w:rPr>
      </w:pPr>
    </w:p>
    <w:p>
      <w:pPr>
        <w:adjustRightInd w:val="0"/>
        <w:snapToGrid w:val="0"/>
        <w:spacing w:line="600" w:lineRule="exact"/>
        <w:jc w:val="both"/>
        <w:rPr>
          <w:rFonts w:ascii="黑体" w:eastAsia="黑体" w:cs="仿宋"/>
          <w:sz w:val="32"/>
          <w:szCs w:val="32"/>
          <w:lang w:val="en-US" w:eastAsia="zh-CN"/>
        </w:rPr>
      </w:pPr>
      <w:r>
        <w:rPr>
          <w:rFonts w:ascii="黑体" w:eastAsia="黑体" w:cs="仿宋" w:hint="eastAsia"/>
          <w:sz w:val="32"/>
          <w:szCs w:val="32"/>
          <w:lang w:eastAsia="zh-CN"/>
        </w:rPr>
        <w:br w:type="page"/>
        <w:t>附件</w:t>
      </w:r>
      <w:r>
        <w:rPr>
          <w:rFonts w:ascii="黑体" w:eastAsia="黑体" w:cs="仿宋" w:hint="eastAsia"/>
          <w:sz w:val="32"/>
          <w:szCs w:val="32"/>
          <w:lang w:val="en-US" w:eastAsia="zh-CN"/>
        </w:rPr>
        <w:t>2-1</w:t>
      </w:r>
    </w:p>
    <w:p>
      <w:pPr>
        <w:widowControl w:val="0"/>
        <w:suppressAutoHyphens/>
        <w:bidi w:val="0"/>
        <w:adjustRightInd w:val="0"/>
        <w:snapToGrid w:val="0"/>
        <w:spacing w:line="460" w:lineRule="exact"/>
        <w:jc w:val="left"/>
        <w:rPr>
          <w:rFonts w:ascii="仿宋" w:eastAsia="仿宋_GB2312" w:cs="宋体" w:hAnsi="仿宋"/>
          <w:b/>
          <w:color w:val="000000"/>
          <w:kern w:val="0"/>
          <w:sz w:val="30"/>
          <w:szCs w:val="30"/>
          <w:lang w:bidi="ar-SA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福建省鲜食玉米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  <w:t>分类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品种审定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  <w:t>指标</w:t>
      </w:r>
    </w:p>
    <w:tbl>
      <w:tblPr>
        <w:tblpPr w:leftFromText="180" w:rightFromText="180" w:vertAnchor="text" w:horzAnchor="page" w:tblpX="1887" w:tblpY="165"/>
        <w:tblOverlap w:val="never"/>
        <w:tblW w:w="8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702"/>
        <w:gridCol w:w="1120"/>
        <w:gridCol w:w="1200"/>
        <w:gridCol w:w="1453"/>
        <w:gridCol w:w="1873"/>
        <w:gridCol w:w="1519"/>
      </w:tblGrid>
      <w:tr>
        <w:trPr>
          <w:trHeight w:val="888"/>
        </w:trPr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产量指标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（与对照比较）</w:t>
            </w: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品质指标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抗性指标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生育期指标</w:t>
            </w:r>
          </w:p>
        </w:tc>
      </w:tr>
      <w:tr>
        <w:trPr>
          <w:trHeight w:val="560"/>
        </w:trPr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年度+%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年度增产点率%</w:t>
            </w:r>
          </w:p>
        </w:tc>
        <w:tc>
          <w:tcPr>
            <w:tcW w:w="14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18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151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/>
        </w:tc>
      </w:tr>
      <w:tr>
        <w:trPr>
          <w:trHeight w:val="1420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≥60.0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品质鉴评分85.0～87.4分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纹枯病、小斑病、南方锈病、大斑病田间自然发病未达到高感。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生育期比对照迟熟，或甜玉米比对照早熟3.0天内、糯玉米比对照早熟5.0天内。</w:t>
            </w:r>
          </w:p>
        </w:tc>
      </w:tr>
      <w:tr>
        <w:trPr>
          <w:trHeight w:val="2010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抗病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≥-3.0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品质鉴评分≥85.0分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纹枯病、小斑病、南方锈病、大斑病田间自然发病均达到抗及以上，接菌鉴定均达到中抗及以上。</w:t>
            </w:r>
          </w:p>
        </w:tc>
        <w:tc>
          <w:tcPr>
            <w:tcW w:w="151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9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优质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≥-3.0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品质较优，品质鉴评分87.5～89.9分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纹枯病、小斑病、南方锈病、大斑病田间自然发病未达到高感。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90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≥-10.0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品质优，品质鉴评分≥90.0分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1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780"/>
        </w:trPr>
        <w:tc>
          <w:tcPr>
            <w:tcW w:w="8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早熟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≥-3.0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品质鉴评分85.0～87.4分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纹枯病、小斑病、南方锈病、大斑病田间自然发病未达到高感。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生育期甜玉米比对照早熟≥3.0天，糯玉米比对照早熟≥5.0天。</w:t>
            </w:r>
          </w:p>
        </w:tc>
      </w:tr>
      <w:tr>
        <w:trPr>
          <w:trHeight w:val="915"/>
        </w:trPr>
        <w:tc>
          <w:tcPr>
            <w:tcW w:w="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≥-10.0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品质较优，品质鉴评分87.5～89.9分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750"/>
        </w:trPr>
        <w:tc>
          <w:tcPr>
            <w:tcW w:w="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≥-16.0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品质优，品质鉴评分≥90.0分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345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8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当对照产量低于组平均产量时，以组平均产量作为产量对照指标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ascii="黑体" w:eastAsia="黑体" w:cs="仿宋" w:hint="eastAsia"/>
          <w:sz w:val="32"/>
          <w:szCs w:val="32"/>
          <w:lang w:val="en-US" w:eastAsia="zh-CN"/>
        </w:rPr>
      </w:pPr>
      <w:r>
        <w:rPr>
          <w:rFonts w:ascii="黑体" w:eastAsia="黑体" w:cs="仿宋" w:hint="eastAsia"/>
          <w:sz w:val="32"/>
          <w:szCs w:val="32"/>
          <w:lang w:eastAsia="zh-CN"/>
        </w:rPr>
        <w:br w:type="page"/>
        <w:t>附件</w:t>
      </w:r>
      <w:r>
        <w:rPr>
          <w:rFonts w:ascii="黑体" w:eastAsia="黑体" w:cs="仿宋" w:hint="eastAsia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eastAsia="黑体"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textAlignment w:val="auto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福建省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大豆</w:t>
      </w:r>
      <w:r>
        <w:rPr>
          <w:rFonts w:ascii="方正小标宋简体" w:eastAsia="方正小标宋简体" w:hint="eastAsia"/>
          <w:sz w:val="44"/>
          <w:szCs w:val="44"/>
        </w:rPr>
        <w:t>品种审定标准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（202</w:t>
      </w: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年修订）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300" w:firstLine="840"/>
        <w:jc w:val="left"/>
        <w:textAlignment w:val="auto"/>
        <w:rPr>
          <w:rFonts w:ascii="方正黑体_GBK" w:eastAsia="方正黑体_GBK" w:cs="方正黑体_GBK" w:hint="eastAsia"/>
          <w:b/>
          <w:i w:val="0"/>
          <w:caps w:val="0"/>
          <w:smallCaps w:val="0"/>
          <w:color w:val="000000"/>
          <w:spacing w:val="0"/>
          <w:sz w:val="28"/>
          <w:szCs w:val="28"/>
          <w:lang w:val="en-US"/>
        </w:rPr>
      </w:pP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1.1抗病性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大豆花叶病毒病抗性：人工接种鉴定，对弱致病优势株系抗性级别达到中抗及以上，对强致病优势株系抗性级别达到中感及以上。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大豆炭疽病抗性：人工接种鉴定，普通大豆、菜用品种抗性级别达到中感及以上。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1.2生育期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jc w:val="left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两年区域试验生育期平均结果，普通春大豆比对照品种晚熟≤5.0天，夏大豆比对照品种晚熟≤3.0天；菜用大豆比对照品种晚熟≤7.0天。当区试对照品种进行更换时，由专业委员会对相应生育期指标作出调整。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1.3品质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en-US" w:eastAsia="zh-CN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品质：普通大豆两年区域试验平均粗脂肪和粗蛋白质含量之和≥59.5%。菜用大豆每1000g标准荚不多于360个，标准两粒荚长5.0厘米以上、宽1.3厘米以上，标准荚率65.0%以上，口感鉴定为香甜柔糯型。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1.4一致性和真实性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同一品种在不同试验年份、不同试验组别、不同试验渠道中DNA指纹检测差异位点数≤2个；申请审定品种与已知品种DNA指纹检测差异位点数≥4个。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申请审定品种与已知品种DNA指纹检测差异位点数=3个的，需进行田间小区种植鉴定证明有重要农艺性状差异；申请审定品种与已知品种DNA指纹检测差异位点数＜3个的，视为相同品种处理。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  <w:t>2.分类品种条件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2.1高产稳产品种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申请审定品种与对照同为常规品种或杂交品种时，两年区域试验平均产量比相应对照增产≥5.0%，且每年增产≥3.0%，生产试验平均产量比相应对照增产≥3.0%。每年区域试验、生产试验增产试验点比例≥65.0%。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200" w:firstLine="640"/>
        <w:jc w:val="left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申请审定品种为杂交品种而对照为常规品种时，两年区域试验平均产量比对照增产≥8.0%，且每年增产≥5.0%，生产试验平均产量比常规品种对照增产≥5.0%。每年区域试验、生产试验增产试验点比例≥65.0%。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2.2高油品种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两年区域试验粗脂肪平均含量≥22.0%，且单年≥21.0%。申请审定品种与对照同为常规品种或杂交品种，每年区域试验、生产试验平均产量比相应对照品种增产≥0.0%；杂交品种，每年区域试验、生产试验平均产量比相应对照品种增产≥5.0%。每年区域试验、生产试验增产试验点比例≥65.0%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2.3高蛋白品种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两年区域试验，粗蛋白质平均含量≥45.0%，且单年≥44.0%。审定品种与对照同为常规品种或杂交品种，两年区域试验平均产量比常规对照品种增产≥0.0%，且每年区域试验平均产量比常规对照品种增产≥0.0%；杂交品种，每年区域试验、生产试验平均产量比常规对照品种增产≥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2.4特殊类型品种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2.4.1</w:t>
      </w:r>
      <w:r>
        <w:rPr>
          <w:rFonts w:ascii="仿宋_GB2312" w:eastAsia="仿宋_GB2312" w:cs="仿宋_GB2312" w:hint="eastAsia"/>
          <w:b/>
          <w:bCs/>
          <w:kern w:val="2"/>
          <w:sz w:val="32"/>
          <w:szCs w:val="32"/>
          <w:lang w:val="en-US" w:eastAsia="zh-CN" w:bidi="ar-SA"/>
        </w:rPr>
        <w:t>菜用大豆品种：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采收鲜荚食用的品种。每年区域试验产量比对照品种增产≥0.0%。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2.4.2</w:t>
      </w:r>
      <w:r>
        <w:rPr>
          <w:rFonts w:ascii="仿宋_GB2312" w:eastAsia="仿宋_GB2312" w:cs="仿宋_GB2312" w:hint="eastAsia"/>
          <w:b/>
          <w:bCs/>
          <w:kern w:val="2"/>
          <w:sz w:val="32"/>
          <w:szCs w:val="32"/>
          <w:lang w:val="en-US" w:eastAsia="zh-CN" w:bidi="ar-SA"/>
        </w:rPr>
        <w:t>耐盐（碱）品种：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具有耐盐（碱）特性的品种。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2.4.3</w:t>
      </w:r>
      <w:r>
        <w:rPr>
          <w:rFonts w:ascii="仿宋_GB2312" w:eastAsia="仿宋_GB2312" w:cs="仿宋_GB2312" w:hint="eastAsia"/>
          <w:b/>
          <w:bCs/>
          <w:kern w:val="2"/>
          <w:sz w:val="32"/>
          <w:szCs w:val="32"/>
          <w:lang w:val="en-US" w:eastAsia="zh-CN" w:bidi="ar-SA"/>
        </w:rPr>
        <w:t>彩色籽粒品种：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籽粒颜色非黄色的品种。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jc w:val="both"/>
        <w:textAlignment w:val="auto"/>
        <w:rPr>
          <w:rFonts w:ascii="方正黑体_GBK" w:eastAsia="方正黑体_GBK" w:cs="方正黑体_GBK" w:hint="eastAsia"/>
          <w:b/>
          <w:i w:val="0"/>
          <w:caps w:val="0"/>
          <w:smallCaps w:val="0"/>
          <w:color w:val="000000"/>
          <w:spacing w:val="0"/>
          <w:kern w:val="0"/>
          <w:sz w:val="28"/>
          <w:szCs w:val="28"/>
          <w:lang w:val="en-US" w:eastAsia="zh-CN" w:bidi="ar-SA"/>
        </w:rPr>
      </w:pPr>
      <w:r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  <w:t>3.有关说明</w:t>
      </w:r>
      <w:r>
        <w:rPr>
          <w:rFonts w:ascii="方正黑体_GBK" w:eastAsia="方正黑体_GBK" w:cs="方正黑体_GBK" w:hint="eastAsia"/>
          <w:b/>
          <w:i w:val="0"/>
          <w:caps w:val="0"/>
          <w:smallCaps w:val="0"/>
          <w:color w:val="000000"/>
          <w:spacing w:val="0"/>
          <w:kern w:val="0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600" w:lineRule="exact"/>
        <w:ind w:right="147" w:firstLineChars="100" w:firstLine="320"/>
        <w:textAlignment w:val="auto"/>
        <w:rPr>
          <w:rFonts w:ascii="仿宋_GB2312" w:eastAsia="仿宋_GB2312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Times New Roman" w:hint="eastAsia"/>
          <w:kern w:val="2"/>
          <w:sz w:val="32"/>
          <w:szCs w:val="32"/>
          <w:lang w:val="en-US" w:eastAsia="zh-CN" w:bidi="ar-SA"/>
        </w:rPr>
        <w:t>普通大豆对照产量低于组平均产量时，以组平均产量作为产量对照指标。</w:t>
      </w:r>
    </w:p>
    <w:p>
      <w:pPr>
        <w:pStyle w:val="16"/>
        <w:rPr>
          <w:rFonts w:ascii="仿宋_GB2312" w:eastAsia="仿宋_GB2312" w:cs="Times New Roman" w:hint="eastAsia"/>
          <w:sz w:val="32"/>
          <w:szCs w:val="32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  <w:szCs w:val="28"/>
      </w:rPr>
    </w:pPr>
    <w:r>
      <w:rPr>
        <w:rStyle w:val="21"/>
        <w:rFonts w:ascii="宋体" w:hint="eastAsia"/>
        <w:sz w:val="28"/>
        <w:szCs w:val="28"/>
      </w:rPr>
      <w:fldChar w:fldCharType="begin"/>
    </w:r>
    <w:r>
      <w:rPr>
        <w:rStyle w:val="21"/>
        <w:rFonts w:ascii="宋体" w:hint="eastAsia"/>
        <w:sz w:val="28"/>
        <w:szCs w:val="28"/>
      </w:rPr>
      <w:instrText>Page</w:instrText>
    </w:r>
    <w:r>
      <w:rPr>
        <w:rStyle w:val="21"/>
        <w:rFonts w:ascii="宋体" w:hint="eastAsia"/>
        <w:sz w:val="28"/>
        <w:szCs w:val="28"/>
      </w:rPr>
      <w:fldChar w:fldCharType="separate"/>
    </w:r>
    <w:r>
      <w:rPr>
        <w:rStyle w:val="21"/>
        <w:rFonts w:ascii="宋体" w:hint="eastAsia"/>
        <w:sz w:val="28"/>
        <w:szCs w:val="28"/>
      </w:rPr>
      <w:t>- 1 -</w:t>
    </w:r>
    <w:r>
      <w:rPr>
        <w:rStyle w:val="21"/>
        <w:rFonts w:ascii="宋体" w:hint="eastAsia"/>
        <w:sz w:val="28"/>
        <w:szCs w:val="28"/>
      </w:rPr>
      <w:fldChar w:fldCharType="end"/>
    </w:r>
  </w:p>
  <w:p>
    <w:pPr>
      <w:pStyle w:val="18"/>
      <w:tabs>
        <w:tab w:val="center" w:pos="4153"/>
        <w:tab w:val="right" w:pos="8307"/>
      </w:tabs>
      <w:ind w:left="0" w:right="360" w:firstLine="360"/>
      <w:rPr>
        <w:rFonts w:ascii="宋体" w:hint="eastAsia"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- 1 -</w:t>
    </w:r>
    <w:r>
      <w:rPr>
        <w:rStyle w:val="21"/>
      </w:rPr>
      <w:fldChar w:fldCharType="end"/>
    </w:r>
  </w:p>
  <w:p>
    <w:pPr>
      <w:pStyle w:val="18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next w:val="16"/>
    <w:rPr>
      <w:sz w:val="18"/>
      <w:szCs w:val="18"/>
    </w:rPr>
  </w:style>
  <w:style w:type="paragraph" w:styleId="16">
    <w:name w:val="endnote text"/>
    <w:basedOn w:val="0"/>
    <w:pPr>
      <w:snapToGrid w:val="0"/>
      <w:jc w:val="left"/>
    </w:pPr>
  </w:style>
  <w:style w:type="paragraph" w:styleId="17">
    <w:name w:val="index 5"/>
    <w:basedOn w:val="0"/>
    <w:next w:val="0"/>
    <w:pPr>
      <w:widowControl w:val="0"/>
      <w:ind w:left="630" w:firstLine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8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0">
    <w:name w:val="Normal (Web)"/>
    <w:basedOn w:val="0"/>
    <w:next w:val="17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19</Words>
  <Characters>22</Characters>
  <Lines>2</Lines>
  <Paragraphs>1</Paragraphs>
  <CharactersWithSpaces>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陈双龙</dc:creator>
  <cp:lastModifiedBy>Microsoft</cp:lastModifiedBy>
  <cp:revision>1</cp:revision>
  <cp:lastPrinted>2024-04-11T23:01:00Z</cp:lastPrinted>
  <dcterms:created xsi:type="dcterms:W3CDTF">2021-12-12T16:10:00Z</dcterms:created>
  <dcterms:modified xsi:type="dcterms:W3CDTF">2024-04-17T02:26:27Z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2052-11.8.2.10290</vt:lpwstr>
  </property>
  <property fmtid="{D5CDD505-2E9C-101B-9397-08002B2CF9AE}" pid="3" name="ICV">
    <vt:lpwstr>99DD3B9F721E4AC28C736F12F38FCB94</vt:lpwstr>
  </property>
</Properties>
</file>