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ascii="黑体" w:eastAsia="黑体" w:cs="仿宋" w:hint="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黑体" w:eastAsia="黑体" w:cs="仿宋" w:hint="eastAsia"/>
          <w:sz w:val="32"/>
          <w:szCs w:val="32"/>
          <w:lang w:eastAsia="zh-CN"/>
        </w:rPr>
        <w:t>附件</w:t>
      </w:r>
      <w:r>
        <w:rPr>
          <w:rFonts w:ascii="黑体" w:eastAsia="黑体" w:cs="仿宋" w:hint="eastAsia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黑体" w:eastAsia="黑体" w:hint="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/>
        <w:jc w:val="center"/>
        <w:textAlignment w:val="auto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福建省</w:t>
      </w:r>
      <w:r>
        <w:rPr>
          <w:rFonts w:ascii="方正小标宋简体" w:eastAsia="方正小标宋简体" w:hint="eastAsia"/>
          <w:sz w:val="44"/>
          <w:szCs w:val="44"/>
          <w:lang w:eastAsia="zh-CN"/>
        </w:rPr>
        <w:t>大豆</w:t>
      </w:r>
      <w:r>
        <w:rPr>
          <w:rFonts w:ascii="方正小标宋简体" w:eastAsia="方正小标宋简体" w:hint="eastAsia"/>
          <w:sz w:val="44"/>
          <w:szCs w:val="44"/>
        </w:rPr>
        <w:t>品种审定标准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（202</w:t>
      </w:r>
      <w:r>
        <w:rPr>
          <w:rFonts w:ascii="方正小标宋简体" w:eastAsia="方正小标宋简体" w:hint="eastAsia"/>
          <w:sz w:val="44"/>
          <w:szCs w:val="44"/>
          <w:lang w:val="en-US" w:eastAsia="zh-CN"/>
        </w:rPr>
        <w:t>4</w:t>
      </w:r>
      <w:r>
        <w:rPr>
          <w:rFonts w:ascii="方正小标宋简体" w:eastAsia="方正小标宋简体" w:hint="eastAsia"/>
          <w:sz w:val="44"/>
          <w:szCs w:val="44"/>
        </w:rPr>
        <w:t>年修订）</w:t>
      </w:r>
    </w:p>
    <w:p>
      <w:pPr>
        <w:pStyle w:val="20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Chars="300" w:firstLine="840"/>
        <w:jc w:val="left"/>
        <w:textAlignment w:val="auto"/>
        <w:rPr>
          <w:rFonts w:ascii="方正黑体_GBK" w:eastAsia="方正黑体_GBK" w:cs="方正黑体_GBK" w:hint="eastAsia"/>
          <w:b/>
          <w:i w:val="0"/>
          <w:caps w:val="0"/>
          <w:smallCaps w:val="0"/>
          <w:color w:val="000000"/>
          <w:spacing w:val="0"/>
          <w:sz w:val="28"/>
          <w:szCs w:val="28"/>
          <w:lang w:val="en-US"/>
        </w:rPr>
      </w:pPr>
    </w:p>
    <w:p>
      <w:pPr>
        <w:pStyle w:val="20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Chars="200" w:firstLine="640"/>
        <w:jc w:val="left"/>
        <w:textAlignment w:val="auto"/>
        <w:rPr>
          <w:rFonts w:ascii="黑体" w:eastAsia="黑体" w:cs="仿宋" w:hint="eastAsia"/>
          <w:kern w:val="2"/>
          <w:sz w:val="32"/>
          <w:szCs w:val="32"/>
          <w:lang w:val="en-US" w:eastAsia="zh-CN" w:bidi="ar-SA"/>
        </w:rPr>
      </w:pPr>
      <w:r>
        <w:rPr>
          <w:rFonts w:ascii="黑体" w:eastAsia="黑体" w:cs="仿宋" w:hint="eastAsia"/>
          <w:kern w:val="2"/>
          <w:sz w:val="32"/>
          <w:szCs w:val="32"/>
          <w:lang w:val="en-US" w:eastAsia="zh-CN" w:bidi="ar-SA"/>
        </w:rPr>
        <w:t>1.基本条件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1.1抗病性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Chars="200" w:firstLine="640"/>
        <w:jc w:val="left"/>
        <w:textAlignment w:val="auto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大豆花叶病毒病抗性：人工接种鉴定，对弱致病优势株系抗性级别达到中抗及以上，对强致病优势株系抗性级别达到中感及以上。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Chars="200" w:firstLine="640"/>
        <w:jc w:val="left"/>
        <w:textAlignment w:val="auto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大豆炭疽病抗性：人工接种鉴定，普通大豆、菜用品种抗性级别达到中感及以上。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1.2生育期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jc w:val="left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000000"/>
          <w:spacing w:val="0"/>
          <w:kern w:val="0"/>
          <w:sz w:val="24"/>
          <w:szCs w:val="24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两年区域试验生育期平均结果，普通春大豆比对照品种晚熟≤5.0天，夏大豆比对照品种晚熟≤3.0天；菜用大豆比对照品种晚熟≤7.0天。当区试对照品种进行更换时，由专业委员会对相应生育期指标作出调整。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1.3品质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000000"/>
          <w:spacing w:val="0"/>
          <w:kern w:val="0"/>
          <w:sz w:val="24"/>
          <w:szCs w:val="24"/>
          <w:lang w:val="en-US" w:eastAsia="zh-CN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品质：普通大豆两年区域试验平均粗脂肪和粗蛋白质含量之和≥59.5%。菜用大豆每1000g标准荚不多于360个，标准两粒荚长5.0厘米以上、宽1.3厘米以上，标准荚率65.0%以上，口感鉴定为香甜柔糯型。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1.4一致性和真实性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Chars="200" w:firstLine="640"/>
        <w:jc w:val="left"/>
        <w:textAlignment w:val="auto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同一品种在不同试验年份、不同试验组别、不同试验渠道中DNA指纹检测差异位点数≤2个；申请审定品种与已知品种DNA指纹检测差异位点数≥4个。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Chars="200" w:firstLine="640"/>
        <w:jc w:val="left"/>
        <w:textAlignment w:val="auto"/>
        <w:rPr>
          <w:rFonts w:ascii="仿宋_GB2312" w:eastAsia="仿宋_GB2312" w:cs="Times New Roman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申请审定品种与已知品种DNA指纹检测差异位点数=3个的，需进行田间小区种植鉴定证明有重要农艺性状差异；申请审定品种与已知品种DNA指纹检测差异位点数＜3个的，视为相同品种处理。</w:t>
      </w:r>
    </w:p>
    <w:p>
      <w:pPr>
        <w:pStyle w:val="20"/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Chars="200" w:firstLine="640"/>
        <w:jc w:val="left"/>
        <w:textAlignment w:val="auto"/>
        <w:rPr>
          <w:rFonts w:ascii="黑体" w:eastAsia="黑体" w:cs="仿宋" w:hint="eastAsia"/>
          <w:kern w:val="2"/>
          <w:sz w:val="32"/>
          <w:szCs w:val="32"/>
          <w:lang w:val="en-US" w:eastAsia="zh-CN" w:bidi="ar-SA"/>
        </w:rPr>
      </w:pPr>
      <w:r>
        <w:rPr>
          <w:rFonts w:ascii="黑体" w:eastAsia="黑体" w:cs="仿宋" w:hint="eastAsia"/>
          <w:kern w:val="2"/>
          <w:sz w:val="32"/>
          <w:szCs w:val="32"/>
          <w:lang w:val="en-US" w:eastAsia="zh-CN" w:bidi="ar-SA"/>
        </w:rPr>
        <w:t>2.分类品种条件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2.1高产稳产品种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Chars="200" w:firstLine="640"/>
        <w:jc w:val="left"/>
        <w:textAlignment w:val="auto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申请审定品种与对照同为常规品种或杂交品种时，两年区域试验平均产量比相应对照增产≥5.0%，且每年增产≥3.0%，生产试验平均产量比相应对照增产≥3.0%。每年区域试验、生产试验增产试验点比例≥65.0%。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Chars="200" w:firstLine="640"/>
        <w:jc w:val="left"/>
        <w:textAlignment w:val="auto"/>
        <w:rPr>
          <w:rFonts w:ascii="仿宋_GB2312" w:eastAsia="仿宋_GB2312" w:cs="仿宋_GB2312" w:hint="eastAsia"/>
          <w:i w:val="0"/>
          <w:caps w:val="0"/>
          <w:smallCaps w:val="0"/>
          <w:color w:val="000000"/>
          <w:spacing w:val="0"/>
          <w:kern w:val="0"/>
          <w:sz w:val="24"/>
          <w:szCs w:val="24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申请审定品种为杂交品种而对照为常规品种时，两年区域试验平均产量比对照增产≥8.0%，且每年增产≥5.0%，生产试验平均产量比常规品种对照增产≥5.0%。每年区域试验、生产试验增产试验点比例≥65.0%。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2.2高油品种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Chars="200" w:firstLine="640"/>
        <w:jc w:val="left"/>
        <w:textAlignment w:val="auto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两年区域试验粗脂肪平均含量≥22.0%，且单年≥21.0%。申请审定品种与对照同为常规品种或杂交品种，每年区域试验、生产试验平均产量比相应对照品种增产≥0.0%；杂交品种，每年区域试验、生产试验平均产量比相应对照品种增产≥5.0%。每年区域试验、生产试验增产试验点比例≥65.0%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textAlignment w:val="auto"/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2.3高蛋白品种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Chars="200" w:firstLine="640"/>
        <w:jc w:val="both"/>
        <w:textAlignment w:val="auto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两年区域试验，粗蛋白质平均含量≥45.0%，且单年≥44.0%。审定品种与对照同为常规品种或杂交品种，两年区域试验平均产量比常规对照品种增产≥0.0%，且每年区域试验平均产量比常规对照品种增产≥0.0%；杂交品种，每年区域试验、生产试验平均产量比常规对照品种增产≥5.0%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jc w:val="both"/>
        <w:textAlignment w:val="auto"/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2.4特殊类型品种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Chars="200" w:firstLine="640"/>
        <w:jc w:val="both"/>
        <w:textAlignment w:val="auto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2.4.1</w:t>
      </w:r>
      <w:r>
        <w:rPr>
          <w:rFonts w:ascii="仿宋_GB2312" w:eastAsia="仿宋_GB2312" w:cs="仿宋_GB2312" w:hint="eastAsia"/>
          <w:b/>
          <w:bCs/>
          <w:kern w:val="2"/>
          <w:sz w:val="32"/>
          <w:szCs w:val="32"/>
          <w:lang w:val="en-US" w:eastAsia="zh-CN" w:bidi="ar-SA"/>
        </w:rPr>
        <w:t>菜用大豆品种：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采收鲜荚食用的品种。每年区域试验产量比对照品种增产≥0.0%。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Chars="200" w:firstLine="640"/>
        <w:jc w:val="both"/>
        <w:textAlignment w:val="auto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2.4.2</w:t>
      </w:r>
      <w:r>
        <w:rPr>
          <w:rFonts w:ascii="仿宋_GB2312" w:eastAsia="仿宋_GB2312" w:cs="仿宋_GB2312" w:hint="eastAsia"/>
          <w:b/>
          <w:bCs/>
          <w:kern w:val="2"/>
          <w:sz w:val="32"/>
          <w:szCs w:val="32"/>
          <w:lang w:val="en-US" w:eastAsia="zh-CN" w:bidi="ar-SA"/>
        </w:rPr>
        <w:t>耐盐（碱）品种：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具有耐盐（碱）特性的品种。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Chars="200" w:firstLine="640"/>
        <w:jc w:val="both"/>
        <w:textAlignment w:val="auto"/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b/>
          <w:bCs/>
          <w:color w:val="auto"/>
          <w:kern w:val="0"/>
          <w:sz w:val="32"/>
          <w:szCs w:val="32"/>
          <w:lang w:val="en-US" w:eastAsia="zh-CN" w:bidi="ar-SA"/>
        </w:rPr>
        <w:t>2.4.3</w:t>
      </w:r>
      <w:r>
        <w:rPr>
          <w:rFonts w:ascii="仿宋_GB2312" w:eastAsia="仿宋_GB2312" w:cs="仿宋_GB2312" w:hint="eastAsia"/>
          <w:b/>
          <w:bCs/>
          <w:kern w:val="2"/>
          <w:sz w:val="32"/>
          <w:szCs w:val="32"/>
          <w:lang w:val="en-US" w:eastAsia="zh-CN" w:bidi="ar-SA"/>
        </w:rPr>
        <w:t>彩色籽粒品种：</w:t>
      </w:r>
      <w:r>
        <w:rPr>
          <w:rFonts w:ascii="仿宋_GB2312" w:eastAsia="仿宋_GB2312" w:cs="仿宋_GB2312" w:hint="eastAsia"/>
          <w:kern w:val="2"/>
          <w:sz w:val="32"/>
          <w:szCs w:val="32"/>
          <w:lang w:val="en-US" w:eastAsia="zh-CN" w:bidi="ar-SA"/>
        </w:rPr>
        <w:t>籽粒颜色非黄色的品种。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Chars="200" w:firstLine="640"/>
        <w:jc w:val="both"/>
        <w:textAlignment w:val="auto"/>
        <w:rPr>
          <w:rFonts w:ascii="方正黑体_GBK" w:eastAsia="方正黑体_GBK" w:cs="方正黑体_GBK" w:hint="eastAsia"/>
          <w:b/>
          <w:i w:val="0"/>
          <w:caps w:val="0"/>
          <w:smallCaps w:val="0"/>
          <w:color w:val="000000"/>
          <w:spacing w:val="0"/>
          <w:kern w:val="0"/>
          <w:sz w:val="28"/>
          <w:szCs w:val="28"/>
          <w:lang w:val="en-US" w:eastAsia="zh-CN" w:bidi="ar-SA"/>
        </w:rPr>
      </w:pPr>
      <w:r>
        <w:rPr>
          <w:rFonts w:ascii="黑体" w:eastAsia="黑体" w:cs="仿宋" w:hint="eastAsia"/>
          <w:kern w:val="2"/>
          <w:sz w:val="32"/>
          <w:szCs w:val="32"/>
          <w:lang w:val="en-US" w:eastAsia="zh-CN" w:bidi="ar-SA"/>
        </w:rPr>
        <w:t>3.有关说明</w:t>
      </w:r>
      <w:r>
        <w:rPr>
          <w:rFonts w:ascii="方正黑体_GBK" w:eastAsia="方正黑体_GBK" w:cs="方正黑体_GBK" w:hint="eastAsia"/>
          <w:b/>
          <w:i w:val="0"/>
          <w:caps w:val="0"/>
          <w:smallCaps w:val="0"/>
          <w:color w:val="000000"/>
          <w:spacing w:val="0"/>
          <w:kern w:val="0"/>
          <w:sz w:val="28"/>
          <w:szCs w:val="28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 w:val="0"/>
        <w:spacing w:line="600" w:lineRule="exact"/>
        <w:ind w:right="147" w:firstLineChars="100" w:firstLine="320"/>
        <w:textAlignment w:val="auto"/>
        <w:rPr>
          <w:rFonts w:ascii="仿宋_GB2312" w:eastAsia="仿宋_GB2312" w:cs="Times New Roman" w:hint="eastAsia"/>
          <w:kern w:val="2"/>
          <w:sz w:val="32"/>
          <w:szCs w:val="32"/>
          <w:lang w:val="en-US" w:eastAsia="zh-CN" w:bidi="ar-SA"/>
        </w:rPr>
      </w:pPr>
      <w:r>
        <w:rPr>
          <w:rFonts w:ascii="仿宋_GB2312" w:eastAsia="仿宋_GB2312" w:cs="Times New Roman" w:hint="eastAsia"/>
          <w:kern w:val="2"/>
          <w:sz w:val="32"/>
          <w:szCs w:val="32"/>
          <w:lang w:val="en-US" w:eastAsia="zh-CN" w:bidi="ar-SA"/>
        </w:rPr>
        <w:t>普通大豆对照产量低于组平均产量时，以组平均产量作为产量对照指标。</w:t>
      </w:r>
    </w:p>
    <w:p>
      <w:pPr>
        <w:pStyle w:val="16"/>
        <w:rPr>
          <w:rFonts w:ascii="仿宋_GB2312" w:eastAsia="仿宋_GB2312" w:cs="Times New Roman" w:hint="eastAsia"/>
          <w:sz w:val="32"/>
          <w:szCs w:val="32"/>
        </w:rPr>
      </w:pPr>
    </w:p>
    <w:sectPr>
      <w:footerReference w:type="default" r:id="rId2"/>
      <w:footerReference w:type="even" r:id="rId3"/>
      <w:pgSz w:w="11907" w:h="16840"/>
      <w:pgMar w:top="1985" w:right="1361" w:bottom="1418" w:left="1531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variable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微软雅黑"/>
    <w:panose1 w:val="020F0502020204030204"/>
    <w:charset w:val="00"/>
    <w:family w:val="swiss"/>
    <w:pitch w:val="variable"/>
    <w:sig w:usb0="00000000" w:usb1="00000000" w:usb2="00000001" w:usb3="00000000" w:csb0="0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8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  <w:rPr>
        <w:rFonts w:ascii="宋体" w:hint="eastAsia"/>
        <w:sz w:val="28"/>
        <w:szCs w:val="28"/>
      </w:rPr>
    </w:pPr>
    <w:r>
      <w:rPr>
        <w:rStyle w:val="21"/>
        <w:rFonts w:ascii="宋体" w:hint="eastAsia"/>
        <w:sz w:val="28"/>
        <w:szCs w:val="28"/>
      </w:rPr>
      <w:fldChar w:fldCharType="begin"/>
    </w:r>
    <w:r>
      <w:rPr>
        <w:rStyle w:val="21"/>
        <w:rFonts w:ascii="宋体" w:hint="eastAsia"/>
        <w:sz w:val="28"/>
        <w:szCs w:val="28"/>
      </w:rPr>
      <w:instrText>Page</w:instrText>
    </w:r>
    <w:r>
      <w:rPr>
        <w:rStyle w:val="21"/>
        <w:rFonts w:ascii="宋体" w:hint="eastAsia"/>
        <w:sz w:val="28"/>
        <w:szCs w:val="28"/>
      </w:rPr>
      <w:fldChar w:fldCharType="separate"/>
    </w:r>
    <w:r>
      <w:rPr>
        <w:rStyle w:val="21"/>
        <w:rFonts w:ascii="宋体" w:hint="eastAsia"/>
        <w:sz w:val="28"/>
        <w:szCs w:val="28"/>
      </w:rPr>
      <w:t>- 1 -</w:t>
    </w:r>
    <w:r>
      <w:rPr>
        <w:rStyle w:val="21"/>
        <w:rFonts w:ascii="宋体" w:hint="eastAsia"/>
        <w:sz w:val="28"/>
        <w:szCs w:val="28"/>
      </w:rPr>
      <w:fldChar w:fldCharType="end"/>
    </w:r>
  </w:p>
  <w:p>
    <w:pPr>
      <w:pStyle w:val="18"/>
      <w:tabs>
        <w:tab w:val="center" w:pos="4153"/>
        <w:tab w:val="right" w:pos="8307"/>
      </w:tabs>
      <w:ind w:left="0" w:right="360" w:firstLine="360"/>
      <w:rPr>
        <w:rFonts w:ascii="宋体" w:hint="eastAsia"/>
        <w:sz w:val="28"/>
        <w:szCs w:val="28"/>
      </w:rPr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8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21"/>
      </w:rPr>
      <w:fldChar w:fldCharType="begin"/>
    </w:r>
    <w:r>
      <w:rPr>
        <w:rStyle w:val="21"/>
      </w:rPr>
      <w:instrText>Page</w:instrText>
    </w:r>
    <w:r>
      <w:rPr>
        <w:rStyle w:val="21"/>
      </w:rPr>
      <w:fldChar w:fldCharType="separate"/>
    </w:r>
    <w:r>
      <w:rPr>
        <w:rStyle w:val="21"/>
      </w:rPr>
      <w:t>- 1 -</w:t>
    </w:r>
    <w:r>
      <w:rPr>
        <w:rStyle w:val="21"/>
      </w:rPr>
      <w:fldChar w:fldCharType="end"/>
    </w:r>
  </w:p>
  <w:p>
    <w:pPr>
      <w:pStyle w:val="18"/>
      <w:tabs>
        <w:tab w:val="center" w:pos="4153"/>
        <w:tab w:val="right" w:pos="8307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Balloon Text"/>
    <w:basedOn w:val="0"/>
    <w:next w:val="16"/>
    <w:rPr>
      <w:sz w:val="18"/>
      <w:szCs w:val="18"/>
    </w:rPr>
  </w:style>
  <w:style w:type="paragraph" w:styleId="16">
    <w:name w:val="endnote text"/>
    <w:basedOn w:val="0"/>
    <w:pPr>
      <w:snapToGrid w:val="0"/>
      <w:jc w:val="left"/>
    </w:pPr>
  </w:style>
  <w:style w:type="paragraph" w:styleId="17">
    <w:name w:val="index 5"/>
    <w:basedOn w:val="0"/>
    <w:next w:val="0"/>
    <w:pPr>
      <w:widowControl w:val="0"/>
      <w:ind w:left="630" w:firstLine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8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19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20">
    <w:name w:val="Normal (Web)"/>
    <w:basedOn w:val="0"/>
    <w:next w:val="17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  <w:lang w:val="en-US" w:eastAsia="zh-CN" w:bidi="ar-SA"/>
    </w:rPr>
  </w:style>
  <w:style w:type="character" w:styleId="21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</Application>
  <Pages>3</Pages>
  <Words>1025</Words>
  <Characters>1156</Characters>
  <Lines>60</Lines>
  <Paragraphs>28</Paragraphs>
  <CharactersWithSpaces>1157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陈双龙</dc:creator>
  <cp:lastModifiedBy>Microsoft</cp:lastModifiedBy>
  <cp:revision>1</cp:revision>
  <cp:lastPrinted>2024-04-11T23:01:00Z</cp:lastPrinted>
  <dcterms:created xsi:type="dcterms:W3CDTF">2021-12-12T16:10:00Z</dcterms:created>
  <dcterms:modified xsi:type="dcterms:W3CDTF">2024-04-17T02:27:38Z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2052-11.8.2.10290</vt:lpwstr>
  </property>
  <property fmtid="{D5CDD505-2E9C-101B-9397-08002B2CF9AE}" pid="3" name="ICV">
    <vt:lpwstr>99DD3B9F721E4AC28C736F12F38FCB94</vt:lpwstr>
  </property>
</Properties>
</file>